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477AF8" w:rsidRDefault="00477AF8" w:rsidP="000B4EB7"/>
    <w:p w:rsidR="0014592A" w:rsidRDefault="0014592A" w:rsidP="0014592A">
      <w:pPr>
        <w:pStyle w:val="Heading1"/>
        <w:rPr>
          <w:b/>
          <w:bCs w:val="0"/>
          <w:sz w:val="28"/>
          <w:szCs w:val="28"/>
        </w:rPr>
      </w:pPr>
      <w:r w:rsidRPr="00531C8D">
        <w:rPr>
          <w:b/>
          <w:bCs w:val="0"/>
          <w:sz w:val="28"/>
          <w:szCs w:val="28"/>
        </w:rPr>
        <w:t>შესავალი</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2019 წლის ბოლოს მსოფლიოში გამოჩენილმა ახალი ტიპის კორონავირუსმა მნიშვნელოვანი გავლენა მოახდინა მსოფლიო ეკონომიკურ ტენდენციებზე და მათ შორის საქართველოზეც. მთელს მსოფლიოში მოხდა მიმდინარე და საშუალოვადიანი პროგნოზების გადახედვა. პანდემიის პირველი ნიშნებიდან მოყოლებული, მაღალი გაურკვევლობიდან გამომდინარე, მრავალჯერ შეიცვალა ეკ</w:t>
      </w:r>
      <w:r w:rsidR="005074EE">
        <w:rPr>
          <w:rFonts w:ascii="Sylfaen" w:hAnsi="Sylfaen" w:cs="Segoe UI"/>
          <w:sz w:val="20"/>
          <w:szCs w:val="20"/>
          <w:lang w:val="ka-GE"/>
        </w:rPr>
        <w:t>ო</w:t>
      </w:r>
      <w:r w:rsidRPr="000A4D4A">
        <w:rPr>
          <w:rFonts w:ascii="Sylfaen" w:hAnsi="Sylfaen" w:cs="Segoe UI"/>
          <w:sz w:val="20"/>
          <w:szCs w:val="20"/>
          <w:lang w:val="ka-GE"/>
        </w:rPr>
        <w:t>ნომიკური პროგნოზები მთელს მსოფლიოში.</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 xml:space="preserve">2020 წლის მსოფლიო ეკონომიკური ზრდის პროგნოზი საერთაშორისო სავალუტო ფონდმა აპრილში -3.0 პროცენტზე შეაფასა. თუმცა, აღნიშნულ მაჩვენებლებს უკვე ივნისში გადახედა და დაამძიმა -4.9 პროცენტამდე. </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შედარებით პესიმისტურია სხვა მაღალრეპუტაციული ორგანიზაციების პროგნოზებიც. მსოფლიო ბანკის მიხედვით, მსოფლიო ეკონომიკური ზრდა 2020 წლისთვის -5.2 პროცენტამდე შემცირდება, ხოლო ეკონომიკური განვითარებისა და თანამშრომლობის ორგანიზაცია (OECD) პროგნოზის ორ სცენარს გვთავაზობს, პირველ შემთხვევაში მსოფლიოს რეალური ეკონომიკური ზრდა -6.0 პროცენტს უტოლდება, ხოლო იმ შემთხვევაში, თუ ვირუსის გავრცელების მეორე ტალღის შესახებ არსებული ვარაუდი რეალიზდება და საჭირო გახდება რეგულაციების კვლავ გამკაცრება, მსოფლიო ეკონომიკური ზრდა -7.6 პროცენტამდე შემცირდება.</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საერთაშორისო სავალუტო ფონდის 2020 წლის აპრილის მსოფლიო ეკონომიკური მიმოხილვის მიხედვით 2020 წელს მსოფლიო ქვეყნების 90 პროცენტს უარყოფითი ეკონომიკური ზრდა ექნება. შედარებისათის, 2009 წელს ეს რიცხვი დაახლოებით 60 პროცენტს შეადგენდა.</w:t>
      </w:r>
    </w:p>
    <w:p w:rsidR="000B4EB7" w:rsidRPr="000A4D4A" w:rsidRDefault="000B4EB7" w:rsidP="0014592A">
      <w:pPr>
        <w:ind w:firstLine="540"/>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 გავლენა არ არის ერთგვაროვანი.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სადაც გლობალიზაციისა და მომსახურების დარგების წილი მაღალია, უფრო მაღალი ეკონომიკური კლებაა მოსალოდნელი, ვიდრე განვითარებად ქვეყნებში. სსფ-ის განახლებული პროგნოზით მოწინავე ეკონომიკის ქვეყნების ეკონომიკური ზრდის პროგნოზი -8, ხოლო განვითარებადი ქვეყნების -3 პროცენტზეა მოსალოდნელი.</w:t>
      </w:r>
      <w:r w:rsidRPr="000A4D4A">
        <w:rPr>
          <w:rFonts w:ascii="Sylfaen" w:hAnsi="Sylfaen" w:cs="Segoe UI"/>
          <w:sz w:val="20"/>
          <w:szCs w:val="20"/>
          <w:lang w:val="ka-GE"/>
        </w:rPr>
        <w:t xml:space="preserve"> </w:t>
      </w:r>
    </w:p>
    <w:p w:rsidR="000B4EB7" w:rsidRDefault="0014592A" w:rsidP="000B4EB7">
      <w:pPr>
        <w:rPr>
          <w:lang w:val="ka-GE"/>
        </w:rPr>
      </w:pPr>
      <w:r w:rsidRPr="000B4EB7">
        <w:rPr>
          <w:noProof/>
        </w:rPr>
        <mc:AlternateContent>
          <mc:Choice Requires="wps">
            <w:drawing>
              <wp:anchor distT="0" distB="0" distL="114300" distR="114300" simplePos="0" relativeHeight="251660288" behindDoc="0" locked="0" layoutInCell="1" allowOverlap="1" wp14:anchorId="48587EED" wp14:editId="060A3792">
                <wp:simplePos x="0" y="0"/>
                <wp:positionH relativeFrom="column">
                  <wp:posOffset>14605</wp:posOffset>
                </wp:positionH>
                <wp:positionV relativeFrom="paragraph">
                  <wp:posOffset>3810</wp:posOffset>
                </wp:positionV>
                <wp:extent cx="3829050" cy="409575"/>
                <wp:effectExtent l="0" t="0" r="0" b="9525"/>
                <wp:wrapNone/>
                <wp:docPr id="260" name="Text Box 260"/>
                <wp:cNvGraphicFramePr/>
                <a:graphic xmlns:a="http://schemas.openxmlformats.org/drawingml/2006/main">
                  <a:graphicData uri="http://schemas.microsoft.com/office/word/2010/wordprocessingShape">
                    <wps:wsp>
                      <wps:cNvSpPr txBox="1"/>
                      <wps:spPr>
                        <a:xfrm>
                          <a:off x="0" y="0"/>
                          <a:ext cx="3829050" cy="409575"/>
                        </a:xfrm>
                        <a:prstGeom prst="rect">
                          <a:avLst/>
                        </a:prstGeom>
                        <a:solidFill>
                          <a:prstClr val="white"/>
                        </a:solidFill>
                        <a:ln>
                          <a:noFill/>
                        </a:ln>
                      </wps:spPr>
                      <wps:txbx>
                        <w:txbxContent>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87EED" id="_x0000_t202" coordsize="21600,21600" o:spt="202" path="m,l,21600r21600,l21600,xe">
                <v:stroke joinstyle="miter"/>
                <v:path gradientshapeok="t" o:connecttype="rect"/>
              </v:shapetype>
              <v:shape id="Text Box 260" o:spid="_x0000_s1026" type="#_x0000_t202" style="position:absolute;margin-left:1.15pt;margin-top:.3pt;width:30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" stroked="f">
                <v:textbox inset="0,0,0,0">
                  <w:txbxContent>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0015C9" w:rsidRDefault="0004274A"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04274A" w:rsidRDefault="0004274A" w:rsidP="000B4EB7"/>
                    <w:p w:rsidR="0004274A" w:rsidRPr="003B5120" w:rsidRDefault="0004274A"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v:textbox>
              </v:shape>
            </w:pict>
          </mc:Fallback>
        </mc:AlternateContent>
      </w:r>
      <w:r w:rsidRPr="000B4EB7">
        <w:rPr>
          <w:noProof/>
        </w:rPr>
        <w:drawing>
          <wp:anchor distT="0" distB="0" distL="114300" distR="114300" simplePos="0" relativeHeight="251663360" behindDoc="1" locked="0" layoutInCell="1" allowOverlap="1" wp14:anchorId="51029DFA" wp14:editId="6C7353AA">
            <wp:simplePos x="0" y="0"/>
            <wp:positionH relativeFrom="column">
              <wp:posOffset>0</wp:posOffset>
            </wp:positionH>
            <wp:positionV relativeFrom="paragraph">
              <wp:posOffset>408940</wp:posOffset>
            </wp:positionV>
            <wp:extent cx="4124325" cy="2514600"/>
            <wp:effectExtent l="0" t="0" r="0" b="0"/>
            <wp:wrapTopAndBottom/>
            <wp:docPr id="23" name="Chart 23">
              <a:extLst xmlns:a="http://schemas.openxmlformats.org/drawingml/2006/main">
                <a:ext uri="{FF2B5EF4-FFF2-40B4-BE49-F238E27FC236}">
                  <a16:creationId xmlns:a16="http://schemas.microsoft.com/office/drawing/2014/main" id="{C5CDBA60-0C0C-4BCD-96B4-B22C7AE27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B4EB7" w:rsidRPr="000B4EB7">
        <w:rPr>
          <w:noProof/>
        </w:rPr>
        <mc:AlternateContent>
          <mc:Choice Requires="wps">
            <w:drawing>
              <wp:anchor distT="0" distB="0" distL="114300" distR="114300" simplePos="0" relativeHeight="251661312" behindDoc="1" locked="0" layoutInCell="1" allowOverlap="1" wp14:anchorId="1F5D846A" wp14:editId="61ADA076">
                <wp:simplePos x="0" y="0"/>
                <wp:positionH relativeFrom="column">
                  <wp:posOffset>3810</wp:posOffset>
                </wp:positionH>
                <wp:positionV relativeFrom="paragraph">
                  <wp:posOffset>3185160</wp:posOffset>
                </wp:positionV>
                <wp:extent cx="3213100" cy="133350"/>
                <wp:effectExtent l="0" t="0" r="6350" b="0"/>
                <wp:wrapTight wrapText="bothSides">
                  <wp:wrapPolygon edited="0">
                    <wp:start x="0" y="0"/>
                    <wp:lineTo x="0" y="18514"/>
                    <wp:lineTo x="21515" y="18514"/>
                    <wp:lineTo x="21515" y="0"/>
                    <wp:lineTo x="0" y="0"/>
                  </wp:wrapPolygon>
                </wp:wrapTight>
                <wp:docPr id="270" name="Text Box 270"/>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846A" id="Text Box 270" o:spid="_x0000_s1027" type="#_x0000_t202" style="position:absolute;margin-left:.3pt;margin-top:250.8pt;width:253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" stroked="f">
                <v:textbox inset="0,0,0,0">
                  <w:txbxContent>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0015C9" w:rsidRDefault="0004274A" w:rsidP="000B4EB7">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04274A" w:rsidRDefault="0004274A" w:rsidP="000B4EB7"/>
                    <w:p w:rsidR="0004274A" w:rsidRPr="003B5120" w:rsidRDefault="0004274A" w:rsidP="000B4EB7">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v:textbox>
                <w10:wrap type="tight"/>
              </v:shape>
            </w:pict>
          </mc:Fallback>
        </mc:AlternateContent>
      </w:r>
    </w:p>
    <w:p w:rsidR="000B4EB7" w:rsidRPr="000B4EB7" w:rsidRDefault="000B4EB7" w:rsidP="000B4EB7">
      <w:pPr>
        <w:rPr>
          <w:lang w:val="ka-GE"/>
        </w:rPr>
      </w:pPr>
    </w:p>
    <w:p w:rsidR="000B4EB7" w:rsidRPr="000B4EB7" w:rsidRDefault="000B4EB7" w:rsidP="000B4EB7">
      <w:pPr>
        <w:rPr>
          <w:lang w:val="ka-GE"/>
        </w:rPr>
      </w:pPr>
    </w:p>
    <w:p w:rsidR="000B4EB7" w:rsidRPr="000B4EB7" w:rsidRDefault="000B4EB7" w:rsidP="000B4EB7">
      <w:pPr>
        <w:rPr>
          <w:lang w:val="ka-GE"/>
        </w:rPr>
      </w:pPr>
    </w:p>
    <w:p w:rsidR="000B4EB7" w:rsidRPr="00531C8D" w:rsidRDefault="000B4EB7" w:rsidP="000B4EB7">
      <w:pPr>
        <w:pStyle w:val="Heading1"/>
        <w:numPr>
          <w:ilvl w:val="0"/>
          <w:numId w:val="4"/>
        </w:numPr>
        <w:ind w:left="360" w:hanging="360"/>
        <w:rPr>
          <w:b/>
          <w:bCs w:val="0"/>
          <w:sz w:val="28"/>
          <w:szCs w:val="28"/>
        </w:rPr>
      </w:pPr>
      <w:r w:rsidRPr="00531C8D">
        <w:rPr>
          <w:b/>
          <w:bCs w:val="0"/>
          <w:sz w:val="28"/>
          <w:szCs w:val="28"/>
        </w:rPr>
        <w:t>ეკონომიკური მიმოხილვა 2020</w:t>
      </w:r>
      <w:r>
        <w:rPr>
          <w:b/>
          <w:bCs w:val="0"/>
          <w:sz w:val="28"/>
          <w:szCs w:val="28"/>
          <w:lang w:val="ka-GE"/>
        </w:rPr>
        <w:t xml:space="preserve"> წელს</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2020 წლის ეკონომიკურ ზრდაზე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 თითქმის 100 პროცენტით შემცირდა. ამავე დროს მსოფლიოსა და რეგიონში განვითარებული ნეგატიური ეკონომიკური მოვლენების გათვალისწინებით, ეკონომიკური ზრდის პროგნოზი 2020 წლისათვის -4.9</w:t>
      </w:r>
      <w:r w:rsidR="00CD7662">
        <w:rPr>
          <w:rFonts w:ascii="Sylfaen" w:hAnsi="Sylfaen" w:cs="Segoe UI"/>
          <w:sz w:val="20"/>
          <w:szCs w:val="20"/>
        </w:rPr>
        <w:t xml:space="preserve"> </w:t>
      </w:r>
      <w:r w:rsidR="00CD7662">
        <w:rPr>
          <w:rFonts w:ascii="Sylfaen" w:hAnsi="Sylfaen" w:cs="Segoe UI"/>
          <w:sz w:val="20"/>
          <w:szCs w:val="20"/>
          <w:lang w:val="ka-GE"/>
        </w:rPr>
        <w:t>პროცენტის</w:t>
      </w:r>
      <w:r w:rsidRPr="000A4D4A">
        <w:rPr>
          <w:rFonts w:ascii="Sylfaen" w:hAnsi="Sylfaen" w:cs="Segoe UI"/>
          <w:sz w:val="20"/>
          <w:szCs w:val="20"/>
        </w:rPr>
        <w:t xml:space="preserve"> დონეზეა მოსალოდნელი. </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 და სეზონურად შესწორებული ფასების ცვლილება წინა თვესთან შედარებით უარყოფითი გახდა.</w:t>
      </w:r>
      <w:r w:rsidR="0014592A" w:rsidRPr="000A4D4A">
        <w:rPr>
          <w:rFonts w:ascii="Sylfaen" w:hAnsi="Sylfaen" w:cs="Segoe UI"/>
          <w:sz w:val="20"/>
          <w:szCs w:val="20"/>
          <w:lang w:val="ka-GE"/>
        </w:rPr>
        <w:t xml:space="preserve"> </w:t>
      </w:r>
    </w:p>
    <w:p w:rsidR="0014592A" w:rsidRDefault="0014592A" w:rsidP="0014592A">
      <w:pPr>
        <w:spacing w:line="276" w:lineRule="auto"/>
        <w:ind w:firstLine="540"/>
        <w:jc w:val="both"/>
        <w:rPr>
          <w:rFonts w:ascii="Segoe UI" w:hAnsi="Segoe UI" w:cs="Segoe UI"/>
          <w:sz w:val="20"/>
          <w:szCs w:val="20"/>
          <w:lang w:val="ka-GE"/>
        </w:rPr>
      </w:pPr>
      <w:r>
        <w:rPr>
          <w:noProof/>
        </w:rPr>
        <w:drawing>
          <wp:anchor distT="0" distB="0" distL="114300" distR="114300" simplePos="0" relativeHeight="251666432" behindDoc="0" locked="0" layoutInCell="1" allowOverlap="1" wp14:anchorId="5CF1B36B" wp14:editId="3F7D06EF">
            <wp:simplePos x="0" y="0"/>
            <wp:positionH relativeFrom="column">
              <wp:posOffset>55880</wp:posOffset>
            </wp:positionH>
            <wp:positionV relativeFrom="paragraph">
              <wp:posOffset>226695</wp:posOffset>
            </wp:positionV>
            <wp:extent cx="3267075" cy="2409825"/>
            <wp:effectExtent l="0" t="0" r="0" b="0"/>
            <wp:wrapTopAndBottom/>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B5120">
        <w:rPr>
          <w:rFonts w:ascii="Calibri" w:eastAsia="Calibri" w:hAnsi="Calibri" w:cs="Times New Roman"/>
          <w:noProof/>
        </w:rPr>
        <mc:AlternateContent>
          <mc:Choice Requires="wps">
            <w:drawing>
              <wp:anchor distT="0" distB="0" distL="114300" distR="114300" simplePos="0" relativeHeight="251668480" behindDoc="1" locked="0" layoutInCell="1" allowOverlap="1" wp14:anchorId="3A7FCA5A" wp14:editId="5382BC21">
                <wp:simplePos x="0" y="0"/>
                <wp:positionH relativeFrom="column">
                  <wp:posOffset>109855</wp:posOffset>
                </wp:positionH>
                <wp:positionV relativeFrom="paragraph">
                  <wp:posOffset>2711450</wp:posOffset>
                </wp:positionV>
                <wp:extent cx="3213100" cy="133350"/>
                <wp:effectExtent l="0" t="0" r="6350" b="0"/>
                <wp:wrapTopAndBottom/>
                <wp:docPr id="28" name="Text Box 28"/>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FCA5A" id="Text Box 28" o:spid="_x0000_s1028" type="#_x0000_t202" style="position:absolute;left:0;text-align:left;margin-left:8.65pt;margin-top:213.5pt;width:253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" stroked="f">
                <v:textbox inset="0,0,0,0">
                  <w:txbxContent>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sidRPr="003B5120">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9782B3C" wp14:editId="721F7030">
                <wp:simplePos x="0" y="0"/>
                <wp:positionH relativeFrom="column">
                  <wp:posOffset>0</wp:posOffset>
                </wp:positionH>
                <wp:positionV relativeFrom="paragraph">
                  <wp:posOffset>-635</wp:posOffset>
                </wp:positionV>
                <wp:extent cx="3197860" cy="22987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2B3C" id="Text Box 27" o:spid="_x0000_s1029" type="#_x0000_t202" style="position:absolute;left:0;text-align:left;margin-left:0;margin-top:-.05pt;width:251.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" stroked="f">
                <v:textbox inset="0,0,0,0">
                  <w:txbxContent>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p>
    <w:p w:rsidR="0014592A" w:rsidRDefault="0004274A" w:rsidP="0014592A">
      <w:pPr>
        <w:spacing w:line="276" w:lineRule="auto"/>
        <w:ind w:firstLine="540"/>
        <w:jc w:val="both"/>
        <w:rPr>
          <w:rFonts w:ascii="Segoe UI" w:hAnsi="Segoe UI"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73600" behindDoc="1" locked="0" layoutInCell="1" allowOverlap="1" wp14:anchorId="530C0407" wp14:editId="44150A48">
                <wp:simplePos x="0" y="0"/>
                <wp:positionH relativeFrom="column">
                  <wp:posOffset>487680</wp:posOffset>
                </wp:positionH>
                <wp:positionV relativeFrom="paragraph">
                  <wp:posOffset>5294630</wp:posOffset>
                </wp:positionV>
                <wp:extent cx="3213100" cy="133350"/>
                <wp:effectExtent l="0" t="0" r="6350" b="0"/>
                <wp:wrapTopAndBottom/>
                <wp:docPr id="31" name="Text Box 31"/>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0407" id="Text Box 31" o:spid="_x0000_s1030" type="#_x0000_t202" style="position:absolute;left:0;text-align:left;margin-left:38.4pt;margin-top:416.9pt;width:253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" stroked="f">
                <v:textbox inset="0,0,0,0">
                  <w:txbxContent>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0015C9" w:rsidRDefault="0004274A"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4592A"/>
                    <w:p w:rsidR="0004274A" w:rsidRPr="003B5120" w:rsidRDefault="0004274A"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Pr>
          <w:noProof/>
        </w:rPr>
        <w:drawing>
          <wp:inline distT="0" distB="0" distL="0" distR="0" wp14:anchorId="75D91D9B" wp14:editId="2B464BB3">
            <wp:extent cx="5381625"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B533F" w:rsidRPr="003B5120">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62FF358" wp14:editId="2897650A">
                <wp:simplePos x="0" y="0"/>
                <wp:positionH relativeFrom="column">
                  <wp:posOffset>55880</wp:posOffset>
                </wp:positionH>
                <wp:positionV relativeFrom="paragraph">
                  <wp:posOffset>2785745</wp:posOffset>
                </wp:positionV>
                <wp:extent cx="3197860" cy="229870"/>
                <wp:effectExtent l="0" t="0" r="2540" b="0"/>
                <wp:wrapTopAndBottom/>
                <wp:docPr id="30" name="Text Box 30"/>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F358" id="Text Box 30" o:spid="_x0000_s1031" type="#_x0000_t202" style="position:absolute;left:0;text-align:left;margin-left:4.4pt;margin-top:219.35pt;width:251.8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" stroked="f">
                <v:textbox inset="0,0,0,0">
                  <w:txbxContent>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0015C9" w:rsidRDefault="0004274A"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4592A"/>
                    <w:p w:rsidR="0004274A" w:rsidRPr="003B5120" w:rsidRDefault="0004274A"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პირველი კვარტლის ბოლოსაკენ რამდენამდე პროგნოზირებადი გახდა პანდემი</w:t>
      </w:r>
      <w:r w:rsidR="00D86BED">
        <w:rPr>
          <w:rFonts w:ascii="Sylfaen" w:hAnsi="Sylfaen" w:cs="Segoe UI"/>
          <w:sz w:val="20"/>
          <w:szCs w:val="20"/>
          <w:lang w:val="ka-GE"/>
        </w:rPr>
        <w:t>ა</w:t>
      </w:r>
      <w:r w:rsidRPr="000A4D4A">
        <w:rPr>
          <w:rFonts w:ascii="Sylfaen" w:hAnsi="Sylfaen" w:cs="Segoe UI"/>
          <w:sz w:val="20"/>
          <w:szCs w:val="20"/>
          <w:lang w:val="ka-GE"/>
        </w:rPr>
        <w:t>ს</w:t>
      </w:r>
      <w:r w:rsidR="00D86BED">
        <w:rPr>
          <w:rFonts w:ascii="Sylfaen" w:hAnsi="Sylfaen" w:cs="Segoe UI"/>
          <w:sz w:val="20"/>
          <w:szCs w:val="20"/>
          <w:lang w:val="ka-GE"/>
        </w:rPr>
        <w:t>თან დაკავშირებული გლობალური კრიზისის სიმძიმე</w:t>
      </w:r>
      <w:r w:rsidRPr="000A4D4A">
        <w:rPr>
          <w:rFonts w:ascii="Sylfaen" w:hAnsi="Sylfaen" w:cs="Segoe UI"/>
          <w:sz w:val="20"/>
          <w:szCs w:val="20"/>
          <w:lang w:val="ka-GE"/>
        </w:rPr>
        <w:t xml:space="preserve">, რაც, </w:t>
      </w:r>
      <w:r w:rsidR="00D86BED">
        <w:rPr>
          <w:rFonts w:ascii="Sylfaen" w:hAnsi="Sylfaen" w:cs="Segoe UI"/>
          <w:sz w:val="20"/>
          <w:szCs w:val="20"/>
          <w:lang w:val="ka-GE"/>
        </w:rPr>
        <w:t xml:space="preserve">მომსახუროების წმინდა ექსპორტიორ ქვეყნებისთვის </w:t>
      </w:r>
      <w:r w:rsidRPr="000A4D4A">
        <w:rPr>
          <w:rFonts w:ascii="Sylfaen" w:hAnsi="Sylfaen" w:cs="Segoe UI"/>
          <w:sz w:val="20"/>
          <w:szCs w:val="20"/>
          <w:lang w:val="ka-GE"/>
        </w:rPr>
        <w:t xml:space="preserve">პირველ რიგში მიმდინარე ანგარიშის პრობლემებში იჩენდა თავს. შედეგად, არსებულმა მოლოდინებმა ერთი მხრივ მიმდინარე ანგარიშის გაუარესების და შესაბამისად უცხოურ ვალუტაზე მოთხოვნის ზრდის შესახებ, ხოლო მეორე მხრივ ფინანსურ ანგარიშში ინვესტიციების შემცირების მოლოდინებმა შექმნა ლიკვიდობის შოკი, რამაც </w:t>
      </w:r>
      <w:r w:rsidRPr="000A4D4A">
        <w:rPr>
          <w:rFonts w:ascii="Sylfaen" w:hAnsi="Sylfaen" w:cs="Segoe UI"/>
          <w:sz w:val="20"/>
          <w:szCs w:val="20"/>
        </w:rPr>
        <w:t xml:space="preserve">მომენტალური გავლენა იქონია გაცვლით კურსზე. თუმცა, საერთაშორისო სავალუტო ფონდთან წარმატებულმა მოლაპარაკებებმა და დონორებთან მიღწეულმა შეთანხმებამ დაფინანსების მოზიდვის შესახებ, აღნიშნული რისკები მოხსნა და მეორე კვარტალში გაცვლითი კურსი დასტაბილურდა. მიუხედავად იმისა, რომ აღნიშნული ლიკვიდობის შოკის რისკი მოხსნილია, </w:t>
      </w:r>
      <w:r w:rsidR="00BD7F05">
        <w:rPr>
          <w:rFonts w:ascii="Sylfaen" w:hAnsi="Sylfaen" w:cs="Segoe UI"/>
          <w:sz w:val="20"/>
          <w:szCs w:val="20"/>
          <w:lang w:val="ka-GE"/>
        </w:rPr>
        <w:t>სავაჭრო პარტნიორი ქვეყნების ვალუტების (</w:t>
      </w:r>
      <w:r w:rsidRPr="000A4D4A">
        <w:rPr>
          <w:rFonts w:ascii="Sylfaen" w:hAnsi="Sylfaen" w:cs="Segoe UI"/>
          <w:sz w:val="20"/>
          <w:szCs w:val="20"/>
        </w:rPr>
        <w:t>თურქულ</w:t>
      </w:r>
      <w:r w:rsidR="00D86BED">
        <w:rPr>
          <w:rFonts w:ascii="Sylfaen" w:hAnsi="Sylfaen" w:cs="Segoe UI"/>
          <w:sz w:val="20"/>
          <w:szCs w:val="20"/>
          <w:lang w:val="ka-GE"/>
        </w:rPr>
        <w:t>ი</w:t>
      </w:r>
      <w:r w:rsidRPr="000A4D4A">
        <w:rPr>
          <w:rFonts w:ascii="Sylfaen" w:hAnsi="Sylfaen" w:cs="Segoe UI"/>
          <w:sz w:val="20"/>
          <w:szCs w:val="20"/>
        </w:rPr>
        <w:t xml:space="preserve"> </w:t>
      </w:r>
      <w:r w:rsidR="00D86BED" w:rsidRPr="000A4D4A">
        <w:rPr>
          <w:rFonts w:ascii="Sylfaen" w:hAnsi="Sylfaen" w:cs="Segoe UI"/>
          <w:sz w:val="20"/>
          <w:szCs w:val="20"/>
        </w:rPr>
        <w:t>ლირ</w:t>
      </w:r>
      <w:r w:rsidR="00D86BED">
        <w:rPr>
          <w:rFonts w:ascii="Sylfaen" w:hAnsi="Sylfaen" w:cs="Segoe UI"/>
          <w:sz w:val="20"/>
          <w:szCs w:val="20"/>
          <w:lang w:val="ka-GE"/>
        </w:rPr>
        <w:t>ისა</w:t>
      </w:r>
      <w:r w:rsidR="00D86BED" w:rsidRPr="000A4D4A">
        <w:rPr>
          <w:rFonts w:ascii="Sylfaen" w:hAnsi="Sylfaen" w:cs="Segoe UI"/>
          <w:sz w:val="20"/>
          <w:szCs w:val="20"/>
        </w:rPr>
        <w:t xml:space="preserve"> </w:t>
      </w:r>
      <w:r w:rsidR="00D86BED">
        <w:rPr>
          <w:rFonts w:ascii="Sylfaen" w:hAnsi="Sylfaen" w:cs="Segoe UI"/>
          <w:sz w:val="20"/>
          <w:szCs w:val="20"/>
          <w:lang w:val="ka-GE"/>
        </w:rPr>
        <w:t>და რუბლის</w:t>
      </w:r>
      <w:r w:rsidR="00BD7F05">
        <w:rPr>
          <w:rFonts w:ascii="Sylfaen" w:hAnsi="Sylfaen" w:cs="Segoe UI"/>
          <w:sz w:val="20"/>
          <w:szCs w:val="20"/>
          <w:lang w:val="ka-GE"/>
        </w:rPr>
        <w:t>)</w:t>
      </w:r>
      <w:r w:rsidR="00D86BED">
        <w:rPr>
          <w:rFonts w:ascii="Sylfaen" w:hAnsi="Sylfaen" w:cs="Segoe UI"/>
          <w:sz w:val="20"/>
          <w:szCs w:val="20"/>
          <w:lang w:val="ka-GE"/>
        </w:rPr>
        <w:t xml:space="preserve"> გაუფასურება </w:t>
      </w:r>
      <w:r w:rsidR="005074EE">
        <w:rPr>
          <w:rFonts w:ascii="Sylfaen" w:hAnsi="Sylfaen" w:cs="Segoe UI"/>
          <w:sz w:val="20"/>
          <w:szCs w:val="20"/>
          <w:lang w:val="ka-GE"/>
        </w:rPr>
        <w:t xml:space="preserve">კვლავ </w:t>
      </w:r>
      <w:r w:rsidR="00D86BED">
        <w:rPr>
          <w:rFonts w:ascii="Sylfaen" w:hAnsi="Sylfaen" w:cs="Segoe UI"/>
          <w:sz w:val="20"/>
          <w:szCs w:val="20"/>
          <w:lang w:val="ka-GE"/>
        </w:rPr>
        <w:t xml:space="preserve">ქმნის </w:t>
      </w:r>
      <w:r w:rsidRPr="000A4D4A">
        <w:rPr>
          <w:rFonts w:ascii="Sylfaen" w:hAnsi="Sylfaen" w:cs="Segoe UI"/>
          <w:sz w:val="20"/>
          <w:szCs w:val="20"/>
        </w:rPr>
        <w:t>გარკვეულ რისკებს. მეორეს მხრივ, შესუსტებული დოლარი ამცირებს შემდგომი გაუფასურების რისკებს.</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მას შემდეგ რაც იანვარ-თებერვალში ეკონომიკურმა ზრდამ 4.3 პროცენტი შეადგინა. პანდემიის რისკების აქტიურად გამოჩენის შემდეგ მარტ-მაისში ეკონომიკური კლებამ 10.7 პროცენტი შეადგინა. ივნისში ეს კლება 7.7 პროცენტამდე შემცირდა და წლის მეორე ნახევარში სავარაუდო ეკონომიკური კლება 4.3 პროცენტს შეადგენს, რაც იმას ნიშნავს რომ არატურისტულ სექტორში ჯამურად ეკონომიკური კლება განულებულია. საერთო ჯამში, 2020 წელს ეკონომიკური შემცირება -4.9 პროცენტის დონეზეა მოსალოდნელი.</w:t>
      </w:r>
    </w:p>
    <w:p w:rsidR="000B4EB7" w:rsidRPr="000A4D4A" w:rsidRDefault="000B4EB7" w:rsidP="0014592A">
      <w:pPr>
        <w:ind w:firstLine="540"/>
        <w:jc w:val="both"/>
        <w:rPr>
          <w:rFonts w:ascii="Sylfaen" w:hAnsi="Sylfaen" w:cs="Segoe UI"/>
          <w:sz w:val="20"/>
          <w:szCs w:val="20"/>
        </w:rPr>
      </w:pPr>
      <w:r w:rsidRPr="000A4D4A">
        <w:rPr>
          <w:rFonts w:ascii="Sylfaen" w:hAnsi="Sylfaen" w:cs="Segoe UI"/>
          <w:sz w:val="20"/>
          <w:szCs w:val="20"/>
          <w:lang w:val="ka-GE"/>
        </w:rPr>
        <w:t xml:space="preserve">პანდემიის შედეგად მნიშვნელოვანი გაუარესება მოხდა საგარეო ბალანსში. წლის პირველ ნახევარში, საქონლისა და მომსახურების ექსპორტიდან საქართველოს ეკონომიკამ დაახლოებით 1.7 მილიარდი აშშ დოლარი დაკარგა. მათ შორის, 1 მლრდ მხოლოდ ტურიზმიდან, სხვა მომსახურებიდან დაახლოებით 400 მლნ., რეექსპორტი შემცირდა დაახლოებით 250 მილიონით, ხოლო ადგილობრივი ექსპორტი მხოლოდ 32 მილიონით (-2.9 პროცენტი). ამასთან, მნიშვნელოვნად შემცირდა საქონლის იმპორტიც (840 მილიონი აშშ დოლარით), რამაც, მომსახურების იმპორტის კლებასთან ერთად, დანაკლისის 80 პროცენტამდე კომპენსირება მოახდინა. შესაბამისად, საბოლოო ჯამში </w:t>
      </w:r>
      <w:r w:rsidR="0014592A" w:rsidRPr="000A4D4A">
        <w:rPr>
          <w:rFonts w:ascii="Sylfaen" w:hAnsi="Sylfaen" w:cs="Segoe UI"/>
          <w:sz w:val="20"/>
          <w:szCs w:val="20"/>
          <w:lang w:val="ka-GE"/>
        </w:rPr>
        <w:t xml:space="preserve"> მიმდინარე ანგარიშის დეფიციტის ორნიშნა დონეზე დაბრუნება მოსალოდნელი არ არის. 2020 წლისთვის მიმდინარე ანგარიშის დეფიციტის </w:t>
      </w:r>
      <w:r w:rsidRPr="000A4D4A">
        <w:rPr>
          <w:rFonts w:ascii="Sylfaen" w:hAnsi="Sylfaen" w:cs="Segoe UI"/>
          <w:sz w:val="20"/>
          <w:szCs w:val="20"/>
          <w:lang w:val="ka-GE"/>
        </w:rPr>
        <w:t>პროგნოზი მშპ-ს 9.</w:t>
      </w:r>
      <w:r w:rsidR="002251EA">
        <w:rPr>
          <w:rFonts w:ascii="Sylfaen" w:hAnsi="Sylfaen" w:cs="Segoe UI"/>
          <w:sz w:val="20"/>
          <w:szCs w:val="20"/>
        </w:rPr>
        <w:t>2</w:t>
      </w:r>
      <w:r w:rsidRPr="000A4D4A">
        <w:rPr>
          <w:rFonts w:ascii="Sylfaen" w:hAnsi="Sylfaen" w:cs="Segoe UI"/>
          <w:sz w:val="20"/>
          <w:szCs w:val="20"/>
          <w:lang w:val="ka-GE"/>
        </w:rPr>
        <w:t xml:space="preserve"> პროცენტს შეადგენს.</w:t>
      </w:r>
      <w:r w:rsidR="0014592A" w:rsidRPr="000A4D4A">
        <w:rPr>
          <w:rFonts w:ascii="Sylfaen" w:hAnsi="Sylfaen" w:cs="Segoe UI"/>
          <w:sz w:val="20"/>
          <w:szCs w:val="20"/>
        </w:rPr>
        <w:t xml:space="preserve"> </w:t>
      </w:r>
    </w:p>
    <w:p w:rsidR="00F729C6" w:rsidRDefault="00954905" w:rsidP="00954905">
      <w:pPr>
        <w:jc w:val="both"/>
        <w:rPr>
          <w:rFonts w:ascii="Sylfaen" w:hAnsi="Sylfaen"/>
          <w:lang w:val="ka-GE"/>
        </w:rPr>
      </w:pPr>
      <w:r>
        <w:rPr>
          <w:noProof/>
        </w:rPr>
        <w:drawing>
          <wp:anchor distT="0" distB="0" distL="114300" distR="114300" simplePos="0" relativeHeight="251727872" behindDoc="0" locked="0" layoutInCell="1" allowOverlap="1" wp14:anchorId="0FA38849" wp14:editId="0FB00687">
            <wp:simplePos x="0" y="0"/>
            <wp:positionH relativeFrom="column">
              <wp:posOffset>-4445</wp:posOffset>
            </wp:positionH>
            <wp:positionV relativeFrom="paragraph">
              <wp:posOffset>467360</wp:posOffset>
            </wp:positionV>
            <wp:extent cx="3213100" cy="2571750"/>
            <wp:effectExtent l="0" t="0" r="6350" b="0"/>
            <wp:wrapTopAndBottom/>
            <wp:docPr id="3" name="Chart 3">
              <a:extLst xmlns:a="http://schemas.openxmlformats.org/drawingml/2006/main">
                <a:ext uri="{FF2B5EF4-FFF2-40B4-BE49-F238E27FC236}">
                  <a16:creationId xmlns:a16="http://schemas.microsoft.com/office/drawing/2014/main" id="{624068EF-9FBB-492F-9FE9-BA76A2952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729C6" w:rsidRPr="003B5120">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6EF730BF" wp14:editId="1C160913">
                <wp:simplePos x="0" y="0"/>
                <wp:positionH relativeFrom="column">
                  <wp:posOffset>71755</wp:posOffset>
                </wp:positionH>
                <wp:positionV relativeFrom="paragraph">
                  <wp:posOffset>240030</wp:posOffset>
                </wp:positionV>
                <wp:extent cx="3197860" cy="229870"/>
                <wp:effectExtent l="0" t="0" r="2540" b="0"/>
                <wp:wrapTopAndBottom/>
                <wp:docPr id="34" name="Text Box 34"/>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30BF" id="Text Box 34" o:spid="_x0000_s1032" type="#_x0000_t202" style="position:absolute;left:0;text-align:left;margin-left:5.65pt;margin-top:18.9pt;width:251.8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" stroked="f">
                <v:textbox inset="0,0,0,0">
                  <w:txbxContent>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0015C9" w:rsidRDefault="0004274A"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F729C6"/>
                    <w:p w:rsidR="0004274A" w:rsidRPr="003B5120" w:rsidRDefault="0004274A"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954905" w:rsidRDefault="00954905" w:rsidP="00F729C6">
      <w:pPr>
        <w:tabs>
          <w:tab w:val="left" w:pos="900"/>
        </w:tabs>
        <w:rPr>
          <w:rFonts w:ascii="Sylfaen" w:hAnsi="Sylfaen"/>
          <w:lang w:val="ka-GE"/>
        </w:rPr>
      </w:pPr>
    </w:p>
    <w:p w:rsidR="00954905" w:rsidRDefault="00954905" w:rsidP="00F729C6">
      <w:pPr>
        <w:tabs>
          <w:tab w:val="left" w:pos="900"/>
        </w:tabs>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79744" behindDoc="1" locked="0" layoutInCell="1" allowOverlap="1" wp14:anchorId="1466D0C8" wp14:editId="476448F2">
                <wp:simplePos x="0" y="0"/>
                <wp:positionH relativeFrom="column">
                  <wp:posOffset>-4445</wp:posOffset>
                </wp:positionH>
                <wp:positionV relativeFrom="paragraph">
                  <wp:posOffset>104775</wp:posOffset>
                </wp:positionV>
                <wp:extent cx="3213100" cy="133350"/>
                <wp:effectExtent l="0" t="0" r="6350" b="0"/>
                <wp:wrapTopAndBottom/>
                <wp:docPr id="35" name="Text Box 35"/>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D0C8" id="Text Box 35" o:spid="_x0000_s1033" type="#_x0000_t202" style="position:absolute;margin-left:-.35pt;margin-top:8.25pt;width:253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" stroked="f">
                <v:textbox inset="0,0,0,0">
                  <w:txbxContent>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0015C9" w:rsidRDefault="0004274A" w:rsidP="00F729C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F729C6"/>
                    <w:p w:rsidR="0004274A" w:rsidRPr="003B5120" w:rsidRDefault="0004274A" w:rsidP="00F729C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ახალი კორონავირუსის პანდემიამ არსებითად შეცვალა მსოფლიო ეკონომიკის განვითარების პერსპექტივები. საშუალოვადიან პერიოდში გლობალური ეკონომიკა მნიშვნელოვანი გამოწვევის წინაშე იქნება. საშუალოვადიანი პერიოდის მთავარი შეკითხვაა: იქნება თუ არა მსოფლიო ეკონომიკა ვაქცინის გამოგონების შემდეგ პანდემიის პერიოდამდელის ანალოგიური თუ პანდემია გამოიწვევს სისტემურ ცვლილებებს? ამ შეკითხვაზე პასუხზეა დამოკიდებული, თუ რამდენად სწრაფად აღდგება ეკონომიკური განვითარების დონე და როგორი ფორმის იქნება ეკონომიკის აღდგენა. დღეისათვის მსოფლიოში არ არსებობს ცალსახა პოზიცია საშუალოვადიან პერსპექტივებთან დაკავშირებით. განიხილება ეკონომიკის აღდგენის როგოც „V“ და „U“, ასევე „L“ ფორმის პერსპექტივები.</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მიუხედავად იმისა, რომ არსებობს გავრცელებული კონსენსუსი, რომ ვაქცინის გამოგონების პროცესი მომავალი წლის დასაწყისში დასრულდება და მომავალი წლის ბოლომდე ვაქცინა ყველასთვის ხელმსაწვდომი გახდება, მსოფლიო ეკონომიკის სწრაფი აღდგენა („V“ ფორმის აღდგენა) ნაკლებად სავარაუდოა. </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ეს დაშვება დამყარებულია იმ მოსაზრებაზე, რომ მსოფლიო ეკონომიკა პანდემიის შემდგომ ვერ იქნება პანდემიამდელის მსგავსი. ამის მთავარი მიზეზი ისაა, რომ პანდემია გამოიწვევს სისტემურ ცვლილებებს და გაზრდის მსოფლიო ეკონომიკაში არსებული რისკების მატერიალიზაციის ალბათობას.</w:t>
      </w:r>
    </w:p>
    <w:p w:rsid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აქედან გამომდინარე, საშუალოვადიანი პერიოდის ეკონომიკური განვითარების აღდგენის პერსპექტივების შესაფასებლად მნიშვნელოვანია ეკონომიკური რისკ ფაქტორების ანალიზი, რომელიც მოცემულია </w:t>
      </w:r>
      <w:r w:rsidR="002251EA">
        <w:rPr>
          <w:rFonts w:ascii="Sylfaen" w:hAnsi="Sylfaen" w:cs="Segoe UI"/>
          <w:sz w:val="20"/>
          <w:szCs w:val="20"/>
          <w:lang w:val="ka-GE"/>
        </w:rPr>
        <w:t>მეოთხე</w:t>
      </w:r>
      <w:r w:rsidRPr="000A4D4A">
        <w:rPr>
          <w:rFonts w:ascii="Sylfaen" w:hAnsi="Sylfaen" w:cs="Segoe UI"/>
          <w:sz w:val="20"/>
          <w:szCs w:val="20"/>
        </w:rPr>
        <w:t xml:space="preserve"> თავში. </w:t>
      </w:r>
    </w:p>
    <w:p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657927" w:rsidRDefault="00657927" w:rsidP="00954905">
      <w:pPr>
        <w:pStyle w:val="ListParagraph"/>
        <w:numPr>
          <w:ilvl w:val="1"/>
          <w:numId w:val="4"/>
        </w:numPr>
        <w:jc w:val="both"/>
        <w:rPr>
          <w:rFonts w:ascii="Sylfaen" w:hAnsi="Sylfaen"/>
          <w:lang w:val="ka-GE"/>
        </w:rPr>
      </w:pPr>
      <w:r>
        <w:rPr>
          <w:rFonts w:ascii="Sylfaen" w:hAnsi="Sylfaen" w:cs="Sylfaen"/>
          <w:lang w:val="ka-GE"/>
        </w:rPr>
        <w:t xml:space="preserve">რისკების მატერიალიზაციის ანალიზი </w:t>
      </w:r>
    </w:p>
    <w:p w:rsidR="00806A24" w:rsidRPr="00954905" w:rsidRDefault="00E61C69" w:rsidP="00954905">
      <w:pPr>
        <w:ind w:firstLine="540"/>
        <w:jc w:val="both"/>
        <w:rPr>
          <w:rFonts w:ascii="Sylfaen" w:hAnsi="Sylfaen"/>
          <w:lang w:val="ka-GE"/>
        </w:rPr>
      </w:pPr>
      <w:r w:rsidRPr="00657927">
        <w:rPr>
          <w:rFonts w:ascii="Sylfaen" w:hAnsi="Sylfaen" w:cs="Sylfaen"/>
          <w:lang w:val="ka-GE"/>
        </w:rPr>
        <w:t>წინა</w:t>
      </w:r>
      <w:r w:rsidRPr="00954905">
        <w:rPr>
          <w:rFonts w:ascii="Sylfaen" w:hAnsi="Sylfaen"/>
          <w:lang w:val="ka-GE"/>
        </w:rPr>
        <w:t xml:space="preserve"> დოკუმენტში იდენტიფიცირებულ იქნა 6 პოზიტიური და 3 ნეგატიური მაკროეკონომიკური რისკი. მიმდინარე წელს რეალიზებულ იქნა </w:t>
      </w:r>
      <w:r w:rsidR="00657927" w:rsidRPr="00954905">
        <w:rPr>
          <w:rFonts w:ascii="Sylfaen" w:hAnsi="Sylfaen"/>
          <w:lang w:val="ka-GE"/>
        </w:rPr>
        <w:t>1 პოზიტიური და</w:t>
      </w:r>
      <w:r w:rsidR="000B5B7B" w:rsidRPr="000B5B7B">
        <w:rPr>
          <w:rFonts w:ascii="Sylfaen" w:hAnsi="Sylfaen"/>
          <w:lang w:val="ka-GE"/>
        </w:rPr>
        <w:t xml:space="preserve"> 2</w:t>
      </w:r>
      <w:r w:rsidR="00657927" w:rsidRPr="00954905">
        <w:rPr>
          <w:rFonts w:ascii="Sylfaen" w:hAnsi="Sylfaen"/>
          <w:lang w:val="ka-GE"/>
        </w:rPr>
        <w:t xml:space="preserve"> ნეგატიური რისკი</w:t>
      </w:r>
      <w:r w:rsidR="005074EE">
        <w:rPr>
          <w:rFonts w:ascii="Sylfaen" w:hAnsi="Sylfaen"/>
          <w:lang w:val="ka-GE"/>
        </w:rPr>
        <w:t>:</w:t>
      </w:r>
    </w:p>
    <w:p w:rsidR="00657927" w:rsidRPr="005074EE" w:rsidRDefault="00657927" w:rsidP="00954905">
      <w:pPr>
        <w:pStyle w:val="ListParagraph"/>
        <w:numPr>
          <w:ilvl w:val="0"/>
          <w:numId w:val="24"/>
        </w:numPr>
        <w:jc w:val="both"/>
        <w:rPr>
          <w:rFonts w:ascii="Sylfaen" w:hAnsi="Sylfaen"/>
          <w:lang w:val="ka-GE"/>
        </w:rPr>
      </w:pPr>
      <w:r w:rsidRPr="005074EE">
        <w:rPr>
          <w:rFonts w:ascii="Sylfaen" w:hAnsi="Sylfaen"/>
          <w:lang w:val="ka-GE"/>
        </w:rPr>
        <w:t>მთავრობა აგრძელებს საგადასახადო რეფორმების განხორციელებას და ბიზნესისთვის საგადასახადო სისტემ</w:t>
      </w:r>
      <w:r w:rsidR="00D86BED">
        <w:rPr>
          <w:rFonts w:ascii="Sylfaen" w:hAnsi="Sylfaen"/>
          <w:lang w:val="ka-GE"/>
        </w:rPr>
        <w:t>ის გამარტივებას</w:t>
      </w:r>
      <w:r w:rsidRPr="005074EE">
        <w:rPr>
          <w:rFonts w:ascii="Sylfaen" w:hAnsi="Sylfaen"/>
          <w:lang w:val="ka-GE"/>
        </w:rPr>
        <w:t xml:space="preserve">. აქტიურად ხორციელდება დღგ-ს ზედმეტობების ავტომატურ რეჟიმში დაბრუნება, რაც დადებითად აისახება ბიზნესის ნდობაზე. შესაბამისად კი უმჯობესდება ბიზნესისა და მომხმარებელთა ნდობა. </w:t>
      </w:r>
    </w:p>
    <w:p w:rsidR="00657927" w:rsidRDefault="00657927" w:rsidP="00954905">
      <w:pPr>
        <w:pStyle w:val="ListParagraph"/>
        <w:numPr>
          <w:ilvl w:val="0"/>
          <w:numId w:val="24"/>
        </w:numPr>
        <w:jc w:val="both"/>
        <w:rPr>
          <w:rFonts w:ascii="Sylfaen" w:hAnsi="Sylfaen"/>
          <w:lang w:val="ka-GE"/>
        </w:rPr>
      </w:pPr>
      <w:r w:rsidRPr="005074EE">
        <w:rPr>
          <w:rFonts w:ascii="Sylfaen" w:hAnsi="Sylfaen"/>
          <w:lang w:val="ka-GE"/>
        </w:rPr>
        <w:t xml:space="preserve">უარყოფითი რისკების ანალიზისას კი უნდა აღინიშნოს, რომ რეგიონში (და ასევე მთელ მსოფლიოში) შენელებულია ეკონომიკური აქტივობა. </w:t>
      </w:r>
      <w:r w:rsidRPr="005074EE">
        <w:rPr>
          <w:rFonts w:ascii="Sylfaen" w:hAnsi="Sylfaen"/>
        </w:rPr>
        <w:t xml:space="preserve">COVID-19 </w:t>
      </w:r>
      <w:r w:rsidRPr="005074EE">
        <w:rPr>
          <w:rFonts w:ascii="Sylfaen" w:hAnsi="Sylfaen"/>
          <w:lang w:val="ka-GE"/>
        </w:rPr>
        <w:t xml:space="preserve">პანდემიამ, ისევე როგორც დაძაბულმა პოლიტიკურმა ურთიერთობებმა რეგიონში და სანქციების დაწესების საფრთხემ, უარყოფითად იმოქმედა რეგიონის ქვეყნების ეკონომიკაზე და, შედეგად, შენელებულია ეკონომიკური აქტივობა. </w:t>
      </w:r>
    </w:p>
    <w:p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ამასთან ერთად, ადგილი აქვს </w:t>
      </w:r>
      <w:r w:rsidR="00B529C1" w:rsidRPr="00B529C1">
        <w:rPr>
          <w:rFonts w:ascii="Sylfaen" w:hAnsi="Sylfaen"/>
          <w:lang w:val="ka-GE"/>
        </w:rPr>
        <w:t>ნომინალური ეფექტური გაცვლითი კურსის ზეწოლის გაგრძელება</w:t>
      </w:r>
      <w:r>
        <w:rPr>
          <w:rFonts w:ascii="Sylfaen" w:hAnsi="Sylfaen"/>
          <w:lang w:val="ka-GE"/>
        </w:rPr>
        <w:t>ს</w:t>
      </w:r>
      <w:r w:rsidR="00B529C1" w:rsidRPr="00B529C1">
        <w:rPr>
          <w:rFonts w:ascii="Sylfaen" w:hAnsi="Sylfaen"/>
          <w:lang w:val="ka-GE"/>
        </w:rPr>
        <w:t xml:space="preserve"> ინფლაციაზე</w:t>
      </w:r>
      <w:r>
        <w:rPr>
          <w:rFonts w:ascii="Sylfaen" w:hAnsi="Sylfaen"/>
          <w:lang w:val="ka-GE"/>
        </w:rPr>
        <w:t xml:space="preserve">. </w:t>
      </w:r>
    </w:p>
    <w:p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აღსანიშნავია, რომ გარდა წინა დოკუმენტში იდენტიფიცირებული რისკებისა, </w:t>
      </w:r>
      <w:r w:rsidR="00B529C1">
        <w:rPr>
          <w:rFonts w:ascii="Sylfaen" w:hAnsi="Sylfaen"/>
          <w:lang w:val="ka-GE"/>
        </w:rPr>
        <w:t>პანდემიის სახით ისეთი შ</w:t>
      </w:r>
      <w:r w:rsidR="002251EA">
        <w:rPr>
          <w:rFonts w:ascii="Sylfaen" w:hAnsi="Sylfaen"/>
          <w:lang w:val="ka-GE"/>
        </w:rPr>
        <w:t>ო</w:t>
      </w:r>
      <w:r w:rsidR="00B529C1">
        <w:rPr>
          <w:rFonts w:ascii="Sylfaen" w:hAnsi="Sylfaen"/>
          <w:lang w:val="ka-GE"/>
        </w:rPr>
        <w:t>კი მოხდა</w:t>
      </w:r>
      <w:r>
        <w:rPr>
          <w:rFonts w:ascii="Sylfaen" w:hAnsi="Sylfaen"/>
          <w:lang w:val="ka-GE"/>
        </w:rPr>
        <w:t>,</w:t>
      </w:r>
      <w:r w:rsidR="00B529C1">
        <w:rPr>
          <w:rFonts w:ascii="Sylfaen" w:hAnsi="Sylfaen"/>
          <w:lang w:val="ka-GE"/>
        </w:rPr>
        <w:t xml:space="preserve"> რომელსაც არავინ ელოდა</w:t>
      </w:r>
      <w:r w:rsidR="002251EA">
        <w:rPr>
          <w:rFonts w:ascii="Sylfaen" w:hAnsi="Sylfaen"/>
          <w:lang w:val="ka-GE"/>
        </w:rPr>
        <w:t xml:space="preserve">. </w:t>
      </w:r>
      <w:r>
        <w:rPr>
          <w:rFonts w:ascii="Sylfaen" w:hAnsi="Sylfaen"/>
          <w:lang w:val="ka-GE"/>
        </w:rPr>
        <w:t xml:space="preserve">აღნიშნული წარმოადგენს ნეგატიურ შოკს როგორც საქართველოსთვის, ასევე - მსოფლიოსთვის. </w:t>
      </w:r>
    </w:p>
    <w:p w:rsidR="002251EA" w:rsidRPr="005074EE" w:rsidRDefault="002251EA" w:rsidP="00954905">
      <w:pPr>
        <w:pStyle w:val="ListParagraph"/>
        <w:ind w:left="1260"/>
        <w:jc w:val="both"/>
        <w:rPr>
          <w:rFonts w:ascii="Sylfaen" w:hAnsi="Sylfaen"/>
          <w:lang w:val="ka-GE"/>
        </w:rPr>
      </w:pPr>
    </w:p>
    <w:p w:rsidR="00657927" w:rsidRPr="00657927" w:rsidRDefault="00657927" w:rsidP="00657927">
      <w:pPr>
        <w:pStyle w:val="ListParagraph"/>
        <w:numPr>
          <w:ilvl w:val="1"/>
          <w:numId w:val="4"/>
        </w:numPr>
        <w:jc w:val="both"/>
        <w:rPr>
          <w:rFonts w:ascii="Sylfaen" w:hAnsi="Sylfaen"/>
          <w:lang w:val="ka-GE"/>
        </w:rPr>
      </w:pPr>
      <w:r>
        <w:rPr>
          <w:rFonts w:ascii="Sylfaen" w:hAnsi="Sylfaen" w:cs="Sylfaen"/>
          <w:lang w:val="ka-GE"/>
        </w:rPr>
        <w:t xml:space="preserve">პოლიტიკის პასუხების ანალიზი </w:t>
      </w:r>
    </w:p>
    <w:p w:rsidR="00657927" w:rsidRPr="00954905" w:rsidRDefault="00657927" w:rsidP="00954905">
      <w:pPr>
        <w:ind w:firstLine="540"/>
        <w:jc w:val="both"/>
        <w:rPr>
          <w:rFonts w:ascii="Sylfaen" w:hAnsi="Sylfaen"/>
          <w:lang w:val="ka-GE"/>
        </w:rPr>
      </w:pPr>
      <w:r>
        <w:rPr>
          <w:rFonts w:ascii="Sylfaen" w:hAnsi="Sylfaen"/>
          <w:lang w:val="ka-GE"/>
        </w:rPr>
        <w:t>ეკონომიკის ჩაკეტვამ და ტურიზმის შეჩერებამ უარყოფითად იმოქმედა ეკონომიკაზე და განახლდა ეკონომიკური ზრდის პროგნოზები</w:t>
      </w:r>
      <w:r w:rsidR="00D56AF5">
        <w:rPr>
          <w:rFonts w:ascii="Sylfaen" w:hAnsi="Sylfaen"/>
          <w:lang w:val="ka-GE"/>
        </w:rPr>
        <w:t xml:space="preserve">. შესაბამისად, 2020 წლისთვის მოსალოდნელია ეკონომიკური აქტივობის შემცირება, თუმცა გატარებული და დაგეგმილი ღონისძიებები და თანმიმდევრული მაკროეკონომიკური პოლიტიკა ხელს შეუწყობს ქვეყნის ეკონომიკას, რომ ზრდის ტემპი 2021 წელს დაუბრუნდეს 2019 წლის მაჩვენებელს. </w:t>
      </w:r>
    </w:p>
    <w:p w:rsidR="000A4D4A" w:rsidRDefault="00F729C6" w:rsidP="00F729C6">
      <w:pPr>
        <w:tabs>
          <w:tab w:val="left" w:pos="900"/>
        </w:tabs>
        <w:rPr>
          <w:rFonts w:ascii="Sylfaen" w:hAnsi="Sylfaen"/>
          <w:lang w:val="ka-GE"/>
        </w:rPr>
      </w:pPr>
      <w:r>
        <w:rPr>
          <w:rFonts w:ascii="Sylfaen" w:hAnsi="Sylfaen"/>
          <w:lang w:val="ka-GE"/>
        </w:rPr>
        <w:tab/>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rsidR="000A4D4A" w:rsidRPr="000A4D4A" w:rsidRDefault="000A4D4A" w:rsidP="000A4D4A">
      <w:pPr>
        <w:ind w:firstLine="540"/>
        <w:jc w:val="both"/>
        <w:rPr>
          <w:rFonts w:ascii="Sylfaen" w:hAnsi="Sylfaen"/>
          <w:sz w:val="20"/>
        </w:rPr>
      </w:pPr>
      <w:r w:rsidRPr="000A4D4A">
        <w:rPr>
          <w:rFonts w:ascii="Sylfaen" w:hAnsi="Sylfaen" w:cs="Sylfaen"/>
          <w:sz w:val="20"/>
        </w:rPr>
        <w:t>ბოლო</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საქართველოს</w:t>
      </w:r>
      <w:r w:rsidRPr="000A4D4A">
        <w:rPr>
          <w:rFonts w:ascii="Sylfaen" w:hAnsi="Sylfaen"/>
          <w:sz w:val="20"/>
        </w:rPr>
        <w:t xml:space="preserve"> </w:t>
      </w:r>
      <w:r w:rsidRPr="000A4D4A">
        <w:rPr>
          <w:rFonts w:ascii="Sylfaen" w:hAnsi="Sylfaen" w:cs="Sylfaen"/>
          <w:sz w:val="20"/>
        </w:rPr>
        <w:t>ეკონომიკამ</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შოკები</w:t>
      </w:r>
      <w:r w:rsidRPr="000A4D4A">
        <w:rPr>
          <w:rFonts w:ascii="Sylfaen" w:hAnsi="Sylfaen"/>
          <w:sz w:val="20"/>
        </w:rPr>
        <w:t xml:space="preserve"> </w:t>
      </w:r>
      <w:r w:rsidRPr="000A4D4A">
        <w:rPr>
          <w:rFonts w:ascii="Sylfaen" w:hAnsi="Sylfaen" w:cs="Sylfaen"/>
          <w:sz w:val="20"/>
        </w:rPr>
        <w:t>მიიღო</w:t>
      </w:r>
      <w:r w:rsidRPr="000A4D4A">
        <w:rPr>
          <w:rFonts w:ascii="Sylfaen" w:hAnsi="Sylfaen"/>
          <w:sz w:val="20"/>
        </w:rPr>
        <w:t xml:space="preserve">. </w:t>
      </w:r>
      <w:r w:rsidRPr="000A4D4A">
        <w:rPr>
          <w:rFonts w:ascii="Sylfaen" w:hAnsi="Sylfaen" w:cs="Sylfaen"/>
          <w:sz w:val="20"/>
        </w:rPr>
        <w:t>მომავალ</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მოსალოდნელია</w:t>
      </w:r>
      <w:r w:rsidRPr="000A4D4A">
        <w:rPr>
          <w:rFonts w:ascii="Sylfaen" w:hAnsi="Sylfaen"/>
          <w:sz w:val="20"/>
        </w:rPr>
        <w:t xml:space="preserve"> </w:t>
      </w:r>
      <w:r w:rsidRPr="000A4D4A">
        <w:rPr>
          <w:rFonts w:ascii="Sylfaen" w:hAnsi="Sylfaen" w:cs="Sylfaen"/>
          <w:sz w:val="20"/>
        </w:rPr>
        <w:t>რისკ</w:t>
      </w:r>
      <w:r w:rsidRPr="000A4D4A">
        <w:rPr>
          <w:rFonts w:ascii="Sylfaen" w:hAnsi="Sylfaen"/>
          <w:sz w:val="20"/>
        </w:rPr>
        <w:t xml:space="preserve"> </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მნიშვნელოვნად</w:t>
      </w:r>
      <w:r w:rsidRPr="000A4D4A">
        <w:rPr>
          <w:rFonts w:ascii="Sylfaen" w:hAnsi="Sylfaen"/>
          <w:sz w:val="20"/>
        </w:rPr>
        <w:t xml:space="preserve"> </w:t>
      </w:r>
      <w:r w:rsidRPr="000A4D4A">
        <w:rPr>
          <w:rFonts w:ascii="Sylfaen" w:hAnsi="Sylfaen" w:cs="Sylfaen"/>
          <w:sz w:val="20"/>
        </w:rPr>
        <w:t>მომატება</w:t>
      </w:r>
      <w:r w:rsidRPr="000A4D4A">
        <w:rPr>
          <w:rFonts w:ascii="Sylfaen" w:hAnsi="Sylfaen"/>
          <w:sz w:val="20"/>
        </w:rPr>
        <w:t xml:space="preserve"> </w:t>
      </w:r>
      <w:r w:rsidRPr="000A4D4A">
        <w:rPr>
          <w:rFonts w:ascii="Sylfaen" w:hAnsi="Sylfaen" w:cs="Sylfaen"/>
          <w:sz w:val="20"/>
        </w:rPr>
        <w:t>როგორც</w:t>
      </w:r>
      <w:r w:rsidRPr="000A4D4A">
        <w:rPr>
          <w:rFonts w:ascii="Sylfaen" w:hAnsi="Sylfaen"/>
          <w:sz w:val="20"/>
        </w:rPr>
        <w:t xml:space="preserve"> </w:t>
      </w:r>
      <w:r w:rsidRPr="000A4D4A">
        <w:rPr>
          <w:rFonts w:ascii="Sylfaen" w:hAnsi="Sylfaen" w:cs="Sylfaen"/>
          <w:sz w:val="20"/>
        </w:rPr>
        <w:t>გლობალურად</w:t>
      </w:r>
      <w:r w:rsidRPr="000A4D4A">
        <w:rPr>
          <w:rFonts w:ascii="Sylfaen" w:hAnsi="Sylfaen"/>
          <w:sz w:val="20"/>
        </w:rPr>
        <w:t xml:space="preserve">, </w:t>
      </w:r>
      <w:r w:rsidRPr="000A4D4A">
        <w:rPr>
          <w:rFonts w:ascii="Sylfaen" w:hAnsi="Sylfaen" w:cs="Sylfaen"/>
          <w:sz w:val="20"/>
        </w:rPr>
        <w:t>ისე</w:t>
      </w:r>
      <w:r w:rsidRPr="000A4D4A">
        <w:rPr>
          <w:rFonts w:ascii="Sylfaen" w:hAnsi="Sylfaen"/>
          <w:sz w:val="20"/>
        </w:rPr>
        <w:t xml:space="preserve"> - </w:t>
      </w:r>
      <w:r w:rsidRPr="000A4D4A">
        <w:rPr>
          <w:rFonts w:ascii="Sylfaen" w:hAnsi="Sylfaen" w:cs="Sylfaen"/>
          <w:sz w:val="20"/>
        </w:rPr>
        <w:t>რეგიონში</w:t>
      </w:r>
      <w:r w:rsidRPr="000A4D4A">
        <w:rPr>
          <w:rFonts w:ascii="Sylfaen" w:hAnsi="Sylfaen"/>
          <w:sz w:val="20"/>
        </w:rPr>
        <w:t xml:space="preserve">. </w:t>
      </w:r>
      <w:r w:rsidRPr="000A4D4A">
        <w:rPr>
          <w:rFonts w:ascii="Sylfaen" w:hAnsi="Sylfaen" w:cs="Sylfaen"/>
          <w:sz w:val="20"/>
        </w:rPr>
        <w:t>პანდემიის</w:t>
      </w:r>
      <w:r w:rsidRPr="000A4D4A">
        <w:rPr>
          <w:rFonts w:ascii="Sylfaen" w:hAnsi="Sylfaen"/>
          <w:sz w:val="20"/>
        </w:rPr>
        <w:t xml:space="preserve"> </w:t>
      </w:r>
      <w:r w:rsidRPr="000A4D4A">
        <w:rPr>
          <w:rFonts w:ascii="Sylfaen" w:hAnsi="Sylfaen" w:cs="Sylfaen"/>
          <w:sz w:val="20"/>
        </w:rPr>
        <w:t>გამწვავება</w:t>
      </w:r>
      <w:r w:rsidRPr="000A4D4A">
        <w:rPr>
          <w:rFonts w:ascii="Sylfaen" w:hAnsi="Sylfaen"/>
          <w:sz w:val="20"/>
        </w:rPr>
        <w:t xml:space="preserve"> </w:t>
      </w:r>
      <w:r w:rsidRPr="000A4D4A">
        <w:rPr>
          <w:rFonts w:ascii="Sylfaen" w:hAnsi="Sylfaen" w:cs="Sylfaen"/>
          <w:sz w:val="20"/>
        </w:rPr>
        <w:t>თავისთავად</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რისკია</w:t>
      </w:r>
      <w:r w:rsidRPr="000A4D4A">
        <w:rPr>
          <w:rFonts w:ascii="Sylfaen" w:hAnsi="Sylfaen"/>
          <w:sz w:val="20"/>
        </w:rPr>
        <w:t xml:space="preserve">, </w:t>
      </w:r>
      <w:r w:rsidRPr="000A4D4A">
        <w:rPr>
          <w:rFonts w:ascii="Sylfaen" w:hAnsi="Sylfaen" w:cs="Sylfaen"/>
          <w:sz w:val="20"/>
        </w:rPr>
        <w:t>თუმცა</w:t>
      </w:r>
      <w:r w:rsidRPr="000A4D4A">
        <w:rPr>
          <w:rFonts w:ascii="Sylfaen" w:hAnsi="Sylfaen"/>
          <w:sz w:val="20"/>
        </w:rPr>
        <w:t xml:space="preserve">, </w:t>
      </w:r>
      <w:r w:rsidRPr="000A4D4A">
        <w:rPr>
          <w:rFonts w:ascii="Sylfaen" w:hAnsi="Sylfaen" w:cs="Sylfaen"/>
          <w:sz w:val="20"/>
        </w:rPr>
        <w:t>ასევე</w:t>
      </w:r>
      <w:r w:rsidRPr="000A4D4A">
        <w:rPr>
          <w:rFonts w:ascii="Sylfaen" w:hAnsi="Sylfaen"/>
          <w:sz w:val="20"/>
        </w:rPr>
        <w:t xml:space="preserve"> </w:t>
      </w:r>
      <w:r w:rsidRPr="000A4D4A">
        <w:rPr>
          <w:rFonts w:ascii="Sylfaen" w:hAnsi="Sylfaen" w:cs="Sylfaen"/>
          <w:sz w:val="20"/>
        </w:rPr>
        <w:t>ძალიან</w:t>
      </w:r>
      <w:r w:rsidRPr="000A4D4A">
        <w:rPr>
          <w:rFonts w:ascii="Sylfaen" w:hAnsi="Sylfaen"/>
          <w:sz w:val="20"/>
        </w:rPr>
        <w:t xml:space="preserve"> </w:t>
      </w:r>
      <w:r w:rsidRPr="000A4D4A">
        <w:rPr>
          <w:rFonts w:ascii="Sylfaen" w:hAnsi="Sylfaen" w:cs="Sylfaen"/>
          <w:sz w:val="20"/>
        </w:rPr>
        <w:t>მნიშვნელოვანია</w:t>
      </w:r>
      <w:r w:rsidRPr="000A4D4A">
        <w:rPr>
          <w:rFonts w:ascii="Sylfaen" w:hAnsi="Sylfaen"/>
          <w:sz w:val="20"/>
        </w:rPr>
        <w:t xml:space="preserve"> </w:t>
      </w:r>
      <w:r w:rsidRPr="000A4D4A">
        <w:rPr>
          <w:rFonts w:ascii="Sylfaen" w:hAnsi="Sylfaen" w:cs="Sylfaen"/>
          <w:sz w:val="20"/>
        </w:rPr>
        <w:t>მისი</w:t>
      </w:r>
      <w:r w:rsidRPr="000A4D4A">
        <w:rPr>
          <w:rFonts w:ascii="Sylfaen" w:hAnsi="Sylfaen"/>
          <w:sz w:val="20"/>
        </w:rPr>
        <w:t xml:space="preserve"> </w:t>
      </w:r>
      <w:r w:rsidRPr="000A4D4A">
        <w:rPr>
          <w:rFonts w:ascii="Sylfaen" w:hAnsi="Sylfaen" w:cs="Sylfaen"/>
          <w:sz w:val="20"/>
        </w:rPr>
        <w:t>არაპირდაპირი</w:t>
      </w:r>
      <w:r w:rsidRPr="000A4D4A">
        <w:rPr>
          <w:rFonts w:ascii="Sylfaen" w:hAnsi="Sylfaen"/>
          <w:sz w:val="20"/>
        </w:rPr>
        <w:t xml:space="preserve"> </w:t>
      </w:r>
      <w:r w:rsidRPr="000A4D4A">
        <w:rPr>
          <w:rFonts w:ascii="Sylfaen" w:hAnsi="Sylfaen" w:cs="Sylfaen"/>
          <w:sz w:val="20"/>
        </w:rPr>
        <w:t>გავლენები</w:t>
      </w:r>
      <w:r w:rsidRPr="000A4D4A">
        <w:rPr>
          <w:rFonts w:ascii="Sylfaen" w:hAnsi="Sylfaen"/>
          <w:sz w:val="20"/>
        </w:rPr>
        <w:t xml:space="preserve"> </w:t>
      </w:r>
      <w:r w:rsidRPr="000A4D4A">
        <w:rPr>
          <w:rFonts w:ascii="Sylfaen" w:hAnsi="Sylfaen" w:cs="Sylfaen"/>
          <w:sz w:val="20"/>
        </w:rPr>
        <w:t>სხვა</w:t>
      </w:r>
      <w:r w:rsidRPr="000A4D4A">
        <w:rPr>
          <w:rFonts w:ascii="Sylfaen" w:hAnsi="Sylfaen"/>
          <w:sz w:val="20"/>
        </w:rPr>
        <w:t xml:space="preserve"> </w:t>
      </w:r>
      <w:r w:rsidRPr="000A4D4A">
        <w:rPr>
          <w:rFonts w:ascii="Sylfaen" w:hAnsi="Sylfaen" w:cs="Sylfaen"/>
          <w:sz w:val="20"/>
        </w:rPr>
        <w:t>რისკების</w:t>
      </w:r>
      <w:r w:rsidRPr="000A4D4A">
        <w:rPr>
          <w:rFonts w:ascii="Sylfaen" w:hAnsi="Sylfaen"/>
          <w:sz w:val="20"/>
        </w:rPr>
        <w:t xml:space="preserve"> </w:t>
      </w:r>
      <w:r w:rsidRPr="000A4D4A">
        <w:rPr>
          <w:rFonts w:ascii="Sylfaen" w:hAnsi="Sylfaen" w:cs="Sylfaen"/>
          <w:sz w:val="20"/>
        </w:rPr>
        <w:t>მატერიალიზაციის</w:t>
      </w:r>
      <w:r w:rsidRPr="000A4D4A">
        <w:rPr>
          <w:rFonts w:ascii="Sylfaen" w:hAnsi="Sylfaen"/>
          <w:sz w:val="20"/>
        </w:rPr>
        <w:t xml:space="preserve"> </w:t>
      </w:r>
      <w:r w:rsidRPr="000A4D4A">
        <w:rPr>
          <w:rFonts w:ascii="Sylfaen" w:hAnsi="Sylfaen" w:cs="Sylfaen"/>
          <w:sz w:val="20"/>
        </w:rPr>
        <w:t>ალბათობაზე</w:t>
      </w:r>
      <w:r w:rsidRPr="000A4D4A">
        <w:rPr>
          <w:rFonts w:ascii="Sylfaen" w:hAnsi="Sylfaen"/>
          <w:sz w:val="20"/>
        </w:rPr>
        <w:t>.</w:t>
      </w:r>
      <w:r w:rsidRPr="000A4D4A">
        <w:rPr>
          <w:rFonts w:ascii="Sylfaen" w:hAnsi="Sylfaen"/>
          <w:sz w:val="20"/>
          <w:lang w:val="ka-GE"/>
        </w:rPr>
        <w:t xml:space="preserve"> </w:t>
      </w:r>
      <w:r w:rsidRPr="000A4D4A">
        <w:rPr>
          <w:rFonts w:ascii="Sylfaen" w:hAnsi="Sylfaen" w:cs="Sylfaen"/>
          <w:sz w:val="20"/>
        </w:rPr>
        <w:t>ქვემოთ</w:t>
      </w:r>
      <w:r w:rsidRPr="000A4D4A">
        <w:rPr>
          <w:rFonts w:ascii="Sylfaen" w:hAnsi="Sylfaen"/>
          <w:sz w:val="20"/>
        </w:rPr>
        <w:t xml:space="preserve"> </w:t>
      </w:r>
      <w:r w:rsidRPr="000A4D4A">
        <w:rPr>
          <w:rFonts w:ascii="Sylfaen" w:hAnsi="Sylfaen" w:cs="Sylfaen"/>
          <w:sz w:val="20"/>
        </w:rPr>
        <w:t>წარმოდგენილია</w:t>
      </w:r>
      <w:r w:rsidRPr="000A4D4A">
        <w:rPr>
          <w:rFonts w:ascii="Sylfaen" w:hAnsi="Sylfaen"/>
          <w:sz w:val="20"/>
        </w:rPr>
        <w:t xml:space="preserve"> </w:t>
      </w:r>
      <w:r w:rsidRPr="000A4D4A">
        <w:rPr>
          <w:rFonts w:ascii="Sylfaen" w:hAnsi="Sylfaen" w:cs="Sylfaen"/>
          <w:sz w:val="20"/>
        </w:rPr>
        <w:t>ქვეყნის</w:t>
      </w:r>
      <w:r w:rsidRPr="000A4D4A">
        <w:rPr>
          <w:rFonts w:ascii="Sylfaen" w:hAnsi="Sylfaen"/>
          <w:sz w:val="20"/>
        </w:rPr>
        <w:t xml:space="preserve"> </w:t>
      </w:r>
      <w:r w:rsidRPr="000A4D4A">
        <w:rPr>
          <w:rFonts w:ascii="Sylfaen" w:hAnsi="Sylfaen" w:cs="Sylfaen"/>
          <w:sz w:val="20"/>
        </w:rPr>
        <w:t>ეკონომიკის</w:t>
      </w:r>
      <w:r w:rsidRPr="000A4D4A">
        <w:rPr>
          <w:rFonts w:ascii="Sylfaen" w:hAnsi="Sylfaen"/>
          <w:sz w:val="20"/>
        </w:rPr>
        <w:t xml:space="preserve"> </w:t>
      </w:r>
      <w:r w:rsidRPr="000A4D4A">
        <w:rPr>
          <w:rFonts w:ascii="Sylfaen" w:hAnsi="Sylfaen" w:cs="Sylfaen"/>
          <w:sz w:val="20"/>
        </w:rPr>
        <w:t>წინაშე</w:t>
      </w:r>
      <w:r w:rsidRPr="000A4D4A">
        <w:rPr>
          <w:rFonts w:ascii="Sylfaen" w:hAnsi="Sylfaen"/>
          <w:sz w:val="20"/>
        </w:rPr>
        <w:t xml:space="preserve"> </w:t>
      </w:r>
      <w:r w:rsidRPr="000A4D4A">
        <w:rPr>
          <w:rFonts w:ascii="Sylfaen" w:hAnsi="Sylfaen" w:cs="Sylfaen"/>
          <w:sz w:val="20"/>
        </w:rPr>
        <w:t>მდგარი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w:t>
      </w:r>
      <w:r w:rsidRPr="000A4D4A">
        <w:rPr>
          <w:rFonts w:ascii="Sylfaen" w:hAnsi="Sylfaen"/>
          <w:sz w:val="20"/>
        </w:rPr>
        <w:t>.</w:t>
      </w:r>
    </w:p>
    <w:p w:rsidR="000A4D4A" w:rsidRDefault="000A4D4A" w:rsidP="000A4D4A">
      <w:pPr>
        <w:ind w:firstLine="540"/>
        <w:jc w:val="both"/>
        <w:rPr>
          <w:rFonts w:ascii="Sylfaen" w:hAnsi="Sylfaen"/>
          <w:sz w:val="20"/>
        </w:rPr>
      </w:pPr>
      <w:r w:rsidRPr="000A4D4A">
        <w:rPr>
          <w:rFonts w:ascii="Sylfaen" w:hAnsi="Sylfaen"/>
          <w:sz w:val="20"/>
        </w:rPr>
        <w:t xml:space="preserve"> </w:t>
      </w: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Pr="000A4D4A">
        <w:rPr>
          <w:rFonts w:ascii="Sylfaen" w:hAnsi="Sylfaen" w:cs="Sylfaen"/>
          <w:sz w:val="20"/>
        </w:rPr>
        <w:t>საბაზისო</w:t>
      </w:r>
      <w:r w:rsidRPr="000A4D4A">
        <w:rPr>
          <w:rFonts w:ascii="Sylfaen" w:hAnsi="Sylfaen"/>
          <w:sz w:val="20"/>
        </w:rPr>
        <w:t xml:space="preserve">, </w:t>
      </w:r>
      <w:r w:rsidRPr="000A4D4A">
        <w:rPr>
          <w:rFonts w:ascii="Sylfaen" w:hAnsi="Sylfaen" w:cs="Sylfaen"/>
          <w:sz w:val="20"/>
        </w:rPr>
        <w:t>ნეგატიური</w:t>
      </w:r>
      <w:r w:rsidRPr="000A4D4A">
        <w:rPr>
          <w:rFonts w:ascii="Sylfaen" w:hAnsi="Sylfaen"/>
          <w:sz w:val="20"/>
        </w:rPr>
        <w:t xml:space="preserve"> </w:t>
      </w:r>
      <w:r w:rsidRPr="000A4D4A">
        <w:rPr>
          <w:rFonts w:ascii="Sylfaen" w:hAnsi="Sylfaen" w:cs="Sylfaen"/>
          <w:sz w:val="20"/>
        </w:rPr>
        <w:t>და</w:t>
      </w:r>
      <w:r w:rsidRPr="000A4D4A">
        <w:rPr>
          <w:rFonts w:ascii="Sylfaen" w:hAnsi="Sylfaen"/>
          <w:sz w:val="20"/>
        </w:rPr>
        <w:t xml:space="preserve"> </w:t>
      </w:r>
      <w:r w:rsidRPr="000A4D4A">
        <w:rPr>
          <w:rFonts w:ascii="Sylfaen" w:hAnsi="Sylfaen" w:cs="Sylfaen"/>
          <w:sz w:val="20"/>
        </w:rPr>
        <w:t>პოზიტიური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rsidR="00D920D4" w:rsidRPr="00620B86" w:rsidRDefault="00D920D4" w:rsidP="000A4D4A">
      <w:pPr>
        <w:ind w:firstLine="540"/>
        <w:jc w:val="both"/>
        <w:rPr>
          <w:rFonts w:ascii="Sylfaen" w:hAnsi="Sylfaen"/>
          <w:b/>
          <w:sz w:val="20"/>
          <w:lang w:val="ka-GE"/>
        </w:rPr>
      </w:pPr>
    </w:p>
    <w:p w:rsidR="000A4D4A" w:rsidRPr="000A4D4A" w:rsidRDefault="00562830" w:rsidP="000A4D4A">
      <w:pPr>
        <w:pStyle w:val="Heading2"/>
        <w:rPr>
          <w:rFonts w:ascii="Sylfaen" w:hAnsi="Sylfaen"/>
        </w:rPr>
      </w:pPr>
      <w:r>
        <w:rPr>
          <w:rFonts w:ascii="Sylfaen" w:hAnsi="Sylfaen"/>
        </w:rPr>
        <w:t>4</w:t>
      </w:r>
      <w:r w:rsidR="000A4D4A" w:rsidRPr="000A4D4A">
        <w:rPr>
          <w:rFonts w:ascii="Sylfaen" w:hAnsi="Sylfaen"/>
        </w:rPr>
        <w:t>.1 პანდემიის გამწვავება</w:t>
      </w:r>
    </w:p>
    <w:p w:rsidR="000A4D4A" w:rsidRPr="000A4D4A" w:rsidRDefault="000A4D4A" w:rsidP="000A4D4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პანდემიასთან დაკავშირებით საბაზისო მოლოდინი შეადგენს ვაქცინის გამოგონებას 2021 წლის პირველ კვარტალში, ხოლო ვაქცინაზე ხელმისაწვდომობის საკითხის დასრულებას საქართველოს მოსახლეობისათვის, ისევე როგორც მთელი მსოფლიოსათვის, 2021 წლის მესამე ან მეოთხე კვარტალში.</w:t>
      </w:r>
    </w:p>
    <w:p w:rsidR="000A4D4A" w:rsidRDefault="000A4D4A" w:rsidP="006A04A6">
      <w:pPr>
        <w:spacing w:line="276" w:lineRule="auto"/>
        <w:ind w:firstLine="540"/>
        <w:jc w:val="both"/>
        <w:rPr>
          <w:rFonts w:ascii="Sylfaen" w:hAnsi="Sylfaen" w:cs="Segoe UI"/>
          <w:sz w:val="20"/>
          <w:szCs w:val="20"/>
        </w:rPr>
      </w:pPr>
      <w:r w:rsidRPr="000A4D4A">
        <w:rPr>
          <w:rFonts w:ascii="Sylfaen" w:hAnsi="Sylfaen" w:cs="Segoe UI"/>
          <w:sz w:val="20"/>
          <w:szCs w:val="20"/>
          <w:lang w:val="ka-GE"/>
        </w:rPr>
        <w:t>მიუხედავად ამისა, არსებობს რისკი, რომ მდგომარეობა შეიძლება უფრო ნეგატიურად განვითარდეს. ნეგატიური სცენარი ითვალისწინებს  ვაქცინის ვერ მიღებას 2022 წლის მეორე ნახევრამდე. შესაბამისად, შემდეგი ორი წლის განმავლობაში იქნება დამატებითი ტალღები და ეკონომიკური შეფერხებები.</w:t>
      </w:r>
      <w:r>
        <w:rPr>
          <w:rFonts w:ascii="Sylfaen" w:hAnsi="Sylfaen" w:cs="Segoe UI"/>
          <w:sz w:val="20"/>
          <w:szCs w:val="20"/>
        </w:rPr>
        <w:t xml:space="preserve"> </w:t>
      </w:r>
    </w:p>
    <w:p w:rsidR="00D920D4" w:rsidRDefault="00D920D4" w:rsidP="006A04A6">
      <w:pPr>
        <w:spacing w:line="276" w:lineRule="auto"/>
        <w:ind w:firstLine="540"/>
        <w:jc w:val="both"/>
        <w:rPr>
          <w:rFonts w:ascii="Sylfaen" w:hAnsi="Sylfaen" w:cs="Segoe UI"/>
          <w:sz w:val="20"/>
          <w:szCs w:val="20"/>
        </w:rPr>
      </w:pPr>
    </w:p>
    <w:p w:rsidR="000A4D4A" w:rsidRPr="005D4934" w:rsidRDefault="00562830" w:rsidP="000A4D4A">
      <w:pPr>
        <w:pStyle w:val="Heading2"/>
      </w:pPr>
      <w:r>
        <w:t>4</w:t>
      </w:r>
      <w:r w:rsidR="000A4D4A" w:rsidRPr="005D4934">
        <w:t>.2.</w:t>
      </w:r>
      <w:r w:rsidR="000A4D4A">
        <w:t xml:space="preserve"> </w:t>
      </w:r>
      <w:r w:rsidR="000A4D4A" w:rsidRPr="005D4934">
        <w:t>ტურიზმის გლობალური სენტიმენტების გაუარესება</w:t>
      </w:r>
    </w:p>
    <w:p w:rsidR="000A4D4A" w:rsidRPr="00B207A3" w:rsidRDefault="000A4D4A" w:rsidP="000A4D4A">
      <w:pPr>
        <w:spacing w:line="276" w:lineRule="auto"/>
        <w:jc w:val="both"/>
        <w:rPr>
          <w:rFonts w:ascii="Segoe UI" w:hAnsi="Segoe UI" w:cs="Segoe UI"/>
          <w:sz w:val="20"/>
          <w:szCs w:val="20"/>
          <w:lang w:val="ka-GE"/>
        </w:rPr>
      </w:pPr>
      <w:r w:rsidRPr="00B207A3">
        <w:rPr>
          <w:rFonts w:ascii="Segoe UI" w:hAnsi="Segoe UI" w:cs="Segoe UI"/>
          <w:sz w:val="20"/>
          <w:szCs w:val="20"/>
          <w:lang w:val="ka-GE"/>
        </w:rPr>
        <w:t xml:space="preserve">    ტურიზმის სექტორი </w:t>
      </w:r>
      <w:r w:rsidR="00C300FF">
        <w:rPr>
          <w:rFonts w:ascii="Segoe UI" w:hAnsi="Segoe UI" w:cs="Segoe UI"/>
          <w:sz w:val="20"/>
          <w:szCs w:val="20"/>
        </w:rPr>
        <w:t>(</w:t>
      </w:r>
      <w:r w:rsidR="00C300FF">
        <w:rPr>
          <w:rFonts w:ascii="Segoe UI" w:hAnsi="Segoe UI" w:cs="Segoe UI"/>
          <w:sz w:val="20"/>
          <w:szCs w:val="20"/>
          <w:lang w:val="ka-GE"/>
        </w:rPr>
        <w:t>სხვა სექტორებში გადადინების ეფფექტის ჩათვლით</w:t>
      </w:r>
      <w:r w:rsidR="00C300FF">
        <w:rPr>
          <w:rFonts w:ascii="Segoe UI" w:hAnsi="Segoe UI" w:cs="Segoe UI"/>
          <w:sz w:val="20"/>
          <w:szCs w:val="20"/>
        </w:rPr>
        <w:t xml:space="preserve">) </w:t>
      </w:r>
      <w:r w:rsidRPr="00B207A3">
        <w:rPr>
          <w:rFonts w:ascii="Segoe UI" w:hAnsi="Segoe UI" w:cs="Segoe UI"/>
          <w:sz w:val="20"/>
          <w:szCs w:val="20"/>
          <w:lang w:val="ka-GE"/>
        </w:rPr>
        <w:t>ქართულ ეკონომიკაში დაახლოებით 10-12 პროცენტს შეადგენს. ბოლო 10 წლის განმავლობაში მსოფლიო ტურისტული სექტორის სენტიმენტი მნიშვნელოვნად გაიზარდა, რაც იყო საქართველოში ტურიზმის ზრდის ერთ-ერთი განმაპირობებელი ფაქტორი. გლობალური ტურისტული სექტორის არასრული აღდგენა საშუალოვადიან პერიოდში წარმოადგენს ქართული ეკონომიკის მნიშვნელოვან რისკ</w:t>
      </w:r>
      <w:r w:rsidR="00C300FF">
        <w:rPr>
          <w:rFonts w:ascii="Segoe UI" w:hAnsi="Segoe UI" w:cs="Segoe UI"/>
          <w:sz w:val="20"/>
          <w:szCs w:val="20"/>
          <w:lang w:val="ka-GE"/>
        </w:rPr>
        <w:t>-</w:t>
      </w:r>
      <w:r w:rsidRPr="00B207A3">
        <w:rPr>
          <w:rFonts w:ascii="Segoe UI" w:hAnsi="Segoe UI" w:cs="Segoe UI"/>
          <w:sz w:val="20"/>
          <w:szCs w:val="20"/>
          <w:lang w:val="ka-GE"/>
        </w:rPr>
        <w:t>ფაქტორს. ტურისტული სენტიმენტის არასრული აღდგენის რისკი დამოკიდებულია შემდეგ ფაქტორებზე:</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 xml:space="preserve">ბუნებრივია, </w:t>
      </w:r>
      <w:r w:rsidRPr="0030481B">
        <w:rPr>
          <w:rFonts w:ascii="Segoe UI" w:hAnsi="Segoe UI" w:cs="Segoe UI"/>
          <w:sz w:val="20"/>
          <w:szCs w:val="20"/>
          <w:lang w:val="ka-GE"/>
        </w:rPr>
        <w:t xml:space="preserve">რომ </w:t>
      </w:r>
      <w:r w:rsidRPr="0030481B">
        <w:rPr>
          <w:rFonts w:ascii="Segoe UI" w:hAnsi="Segoe UI" w:cs="Segoe UI"/>
          <w:sz w:val="20"/>
          <w:szCs w:val="20"/>
        </w:rPr>
        <w:t>გლობალურ ეკონომიკურ კლებას</w:t>
      </w:r>
      <w:r w:rsidRPr="0030481B">
        <w:rPr>
          <w:rFonts w:ascii="Segoe UI" w:hAnsi="Segoe UI" w:cs="Segoe UI"/>
          <w:sz w:val="20"/>
          <w:szCs w:val="20"/>
          <w:lang w:val="ka-GE"/>
        </w:rPr>
        <w:t xml:space="preserve"> </w:t>
      </w:r>
      <w:r w:rsidRPr="0030481B">
        <w:rPr>
          <w:rFonts w:ascii="Segoe UI" w:hAnsi="Segoe UI"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არსებობს მოსაზრებები, რომ ტურისტული ტენდენციები გადაიხრება ტრადიციული</w:t>
      </w:r>
      <w:r w:rsidRPr="0030481B">
        <w:rPr>
          <w:rFonts w:ascii="Segoe UI" w:hAnsi="Segoe UI" w:cs="Segoe UI"/>
          <w:sz w:val="20"/>
          <w:szCs w:val="20"/>
          <w:lang w:val="ka-GE"/>
        </w:rPr>
        <w:t xml:space="preserve"> </w:t>
      </w:r>
      <w:r w:rsidRPr="0030481B">
        <w:rPr>
          <w:rFonts w:ascii="Segoe UI" w:hAnsi="Segoe UI" w:cs="Segoe UI"/>
          <w:sz w:val="20"/>
          <w:szCs w:val="20"/>
        </w:rPr>
        <w:t>ტურისტული</w:t>
      </w:r>
      <w:r w:rsidRPr="0030481B">
        <w:rPr>
          <w:rFonts w:ascii="Segoe UI" w:hAnsi="Segoe UI" w:cs="Segoe UI"/>
          <w:sz w:val="20"/>
          <w:szCs w:val="20"/>
          <w:lang w:val="ka-GE"/>
        </w:rPr>
        <w:t xml:space="preserve"> </w:t>
      </w:r>
      <w:r w:rsidRPr="0030481B">
        <w:rPr>
          <w:rFonts w:ascii="Segoe UI" w:hAnsi="Segoe UI"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w:t>
      </w:r>
      <w:r>
        <w:rPr>
          <w:rFonts w:ascii="Segoe UI" w:hAnsi="Segoe UI" w:cs="Segoe UI"/>
          <w:sz w:val="20"/>
          <w:szCs w:val="20"/>
          <w:lang w:val="ka-GE"/>
        </w:rPr>
        <w:t>-</w:t>
      </w:r>
      <w:r w:rsidRPr="0030481B">
        <w:rPr>
          <w:rFonts w:ascii="Segoe UI" w:hAnsi="Segoe UI" w:cs="Segoe UI"/>
          <w:sz w:val="20"/>
          <w:szCs w:val="20"/>
        </w:rPr>
        <w:t>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6A04A6">
      <w:pPr>
        <w:spacing w:line="276" w:lineRule="auto"/>
        <w:ind w:firstLine="540"/>
        <w:jc w:val="both"/>
        <w:rPr>
          <w:rFonts w:ascii="Segoe UI" w:hAnsi="Segoe UI" w:cs="Segoe UI"/>
          <w:sz w:val="20"/>
          <w:szCs w:val="20"/>
        </w:rPr>
      </w:pPr>
    </w:p>
    <w:p w:rsidR="00BD7F05" w:rsidRDefault="00562830" w:rsidP="000A4D4A">
      <w:pPr>
        <w:pStyle w:val="Heading2"/>
      </w:pPr>
      <w:r>
        <w:t>4</w:t>
      </w:r>
      <w:r w:rsidR="000A4D4A" w:rsidRPr="00B83CE9">
        <w:t>.3.</w:t>
      </w:r>
      <w:r w:rsidR="000A4D4A">
        <w:t xml:space="preserve"> </w:t>
      </w:r>
      <w:r w:rsidR="000A4D4A" w:rsidRPr="00B83CE9">
        <w:t xml:space="preserve">გლობალური </w:t>
      </w:r>
      <w:r w:rsidR="00477AF8">
        <w:t>სავაჭრო ბრუნვის შემცირება</w:t>
      </w:r>
    </w:p>
    <w:p w:rsidR="00477AF8" w:rsidRPr="00477AF8" w:rsidRDefault="00283359" w:rsidP="00477AF8">
      <w:pPr>
        <w:spacing w:line="276" w:lineRule="auto"/>
        <w:ind w:firstLine="540"/>
        <w:jc w:val="both"/>
        <w:rPr>
          <w:rFonts w:ascii="Segoe UI" w:hAnsi="Segoe UI" w:cs="Segoe UI"/>
          <w:b/>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გლიბალური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rsidR="000A4D4A" w:rsidRPr="005D4934" w:rsidRDefault="00562830" w:rsidP="000A4D4A">
      <w:pPr>
        <w:pStyle w:val="Heading2"/>
      </w:pPr>
      <w:r>
        <w:t>4</w:t>
      </w:r>
      <w:r w:rsidR="000A4D4A" w:rsidRPr="00B83CE9">
        <w:t>.4.</w:t>
      </w:r>
      <w:r w:rsidR="000A4D4A">
        <w:t xml:space="preserve"> </w:t>
      </w:r>
      <w:r w:rsidR="000A4D4A" w:rsidRPr="00B83CE9">
        <w:t>რეგიონული რისკები</w:t>
      </w:r>
    </w:p>
    <w:p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გარემოწბებით არის განპირობებული</w:t>
      </w:r>
      <w:r w:rsidRPr="00B83CE9">
        <w:rPr>
          <w:rFonts w:ascii="Segoe UI" w:hAnsi="Segoe UI" w:cs="Segoe UI"/>
          <w:sz w:val="20"/>
          <w:szCs w:val="20"/>
        </w:rPr>
        <w:t>:</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rsidR="000A4D4A" w:rsidRPr="00945B6B" w:rsidRDefault="000A4D4A" w:rsidP="00954905">
      <w:pPr>
        <w:pStyle w:val="ListParagraph"/>
        <w:numPr>
          <w:ilvl w:val="0"/>
          <w:numId w:val="18"/>
        </w:numPr>
        <w:spacing w:line="276" w:lineRule="auto"/>
        <w:jc w:val="both"/>
      </w:pPr>
      <w:r w:rsidRPr="0030481B">
        <w:rPr>
          <w:rFonts w:ascii="Segoe UI" w:hAnsi="Segoe UI" w:cs="Segoe UI"/>
          <w:sz w:val="20"/>
          <w:szCs w:val="20"/>
        </w:rPr>
        <w:t>სანქციების დაწესების საშიშროება;</w:t>
      </w:r>
    </w:p>
    <w:p w:rsidR="00945B6B" w:rsidRPr="0030481B"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rsidR="000A4D4A" w:rsidRPr="00E72A49"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194344">
      <w:pPr>
        <w:spacing w:line="276" w:lineRule="auto"/>
        <w:jc w:val="both"/>
        <w:rPr>
          <w:rFonts w:ascii="Segoe UI" w:hAnsi="Segoe UI" w:cs="Segoe UI"/>
          <w:sz w:val="20"/>
          <w:szCs w:val="20"/>
          <w:lang w:val="ka-GE"/>
        </w:rPr>
      </w:pPr>
    </w:p>
    <w:p w:rsidR="00194344" w:rsidRPr="003A6407" w:rsidRDefault="00562830" w:rsidP="00194344">
      <w:pPr>
        <w:pStyle w:val="Heading2"/>
      </w:pPr>
      <w:r>
        <w:t>4</w:t>
      </w:r>
      <w:r w:rsidR="00194344" w:rsidRPr="003A6407">
        <w:t>.</w:t>
      </w:r>
      <w:r>
        <w:t>5</w:t>
      </w:r>
      <w:r w:rsidR="00194344" w:rsidRPr="003A6407">
        <w:t>.</w:t>
      </w:r>
      <w:r w:rsidR="00194344">
        <w:t xml:space="preserve"> </w:t>
      </w:r>
      <w:r w:rsidR="00194344" w:rsidRPr="003A6407">
        <w:t>გაზრდილი გლობალური ვალი</w:t>
      </w:r>
    </w:p>
    <w:p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Pr="00342699">
        <w:rPr>
          <w:rFonts w:ascii="Segoe UI" w:hAnsi="Segoe UI" w:cs="Segoe UI"/>
          <w:sz w:val="20"/>
          <w:szCs w:val="20"/>
        </w:rPr>
        <w:t xml:space="preserve">ეკონომიკურ კრიზისს, რომელიც ახალმა პანდემიამ გამოიწვია, მნიშვნელოვანი გავლენა მოახდინა დანაზოგებზე. მსოფლიოს პრაქტიკულად ყველა ქვეყანას მოუწია ვალის ზრდა და ბუფერების შემცირება. </w:t>
      </w:r>
    </w:p>
    <w:p w:rsidR="00194344" w:rsidRPr="00342699"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კვლევების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rsidR="00194344"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შესაბამისად,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კონსოლიდაცია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rsidR="00945B6B" w:rsidRPr="00342699" w:rsidRDefault="00945B6B" w:rsidP="00C05DF7">
      <w:pPr>
        <w:spacing w:line="276" w:lineRule="auto"/>
        <w:ind w:firstLine="540"/>
        <w:jc w:val="both"/>
        <w:rPr>
          <w:rFonts w:ascii="Segoe UI" w:hAnsi="Segoe UI" w:cs="Segoe UI"/>
          <w:sz w:val="20"/>
          <w:szCs w:val="20"/>
        </w:rPr>
      </w:pPr>
    </w:p>
    <w:p w:rsidR="00194344" w:rsidRPr="00D1769C" w:rsidRDefault="00562830" w:rsidP="00194344">
      <w:pPr>
        <w:pStyle w:val="Heading2"/>
      </w:pPr>
      <w:r>
        <w:t>4.6</w:t>
      </w:r>
      <w:r w:rsidR="00194344">
        <w:t xml:space="preserve"> </w:t>
      </w:r>
      <w:r w:rsidR="00194344" w:rsidRPr="00D1769C">
        <w:t>გლობალური მომხმარებელთა ქცევა</w:t>
      </w:r>
    </w:p>
    <w:p w:rsidR="000A4D4A" w:rsidRDefault="00194344" w:rsidP="00385E6A">
      <w:pPr>
        <w:tabs>
          <w:tab w:val="left" w:pos="900"/>
        </w:tabs>
        <w:ind w:firstLine="540"/>
        <w:jc w:val="both"/>
        <w:rPr>
          <w:rFonts w:ascii="Segoe UI" w:hAnsi="Segoe UI" w:cs="Segoe UI"/>
          <w:sz w:val="20"/>
          <w:szCs w:val="20"/>
        </w:rPr>
      </w:pPr>
      <w:r w:rsidRPr="00D1769C">
        <w:rPr>
          <w:rFonts w:ascii="Segoe UI" w:hAnsi="Segoe UI" w:cs="Segoe UI"/>
          <w:sz w:val="20"/>
          <w:szCs w:val="20"/>
        </w:rPr>
        <w:t>პანდემიის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Pr>
          <w:rFonts w:ascii="Segoe UI" w:hAnsi="Segoe UI" w:cs="Segoe UI"/>
          <w:sz w:val="20"/>
          <w:szCs w:val="20"/>
        </w:rPr>
        <w:t xml:space="preserve"> </w:t>
      </w:r>
      <w:r w:rsidRPr="00D1769C">
        <w:rPr>
          <w:rFonts w:ascii="Segoe UI" w:hAnsi="Segoe UI" w:cs="Segoe UI"/>
          <w:sz w:val="20"/>
          <w:szCs w:val="20"/>
        </w:rPr>
        <w:t>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მოცემული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Pr>
          <w:rFonts w:ascii="Segoe UI" w:hAnsi="Segoe UI" w:cs="Segoe UI"/>
          <w:sz w:val="20"/>
          <w:szCs w:val="20"/>
        </w:rPr>
        <w:t xml:space="preserve"> </w:t>
      </w:r>
    </w:p>
    <w:p w:rsidR="00954905" w:rsidRDefault="00954905" w:rsidP="00385E6A">
      <w:pPr>
        <w:tabs>
          <w:tab w:val="left" w:pos="900"/>
        </w:tabs>
        <w:ind w:firstLine="540"/>
        <w:jc w:val="both"/>
        <w:rPr>
          <w:rFonts w:ascii="Segoe UI" w:hAnsi="Segoe UI" w:cs="Segoe UI"/>
          <w:sz w:val="20"/>
          <w:szCs w:val="20"/>
        </w:rPr>
      </w:pPr>
    </w:p>
    <w:p w:rsidR="00194344" w:rsidRDefault="00194344" w:rsidP="00194344">
      <w:pPr>
        <w:tabs>
          <w:tab w:val="left" w:pos="900"/>
        </w:tabs>
        <w:jc w:val="both"/>
        <w:rPr>
          <w:rFonts w:ascii="Sylfaen" w:hAnsi="Sylfaen"/>
        </w:rPr>
      </w:pPr>
      <w:r w:rsidRPr="003B5120">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6D4F3FE8" wp14:editId="145398E0">
                <wp:simplePos x="0" y="0"/>
                <wp:positionH relativeFrom="column">
                  <wp:posOffset>41275</wp:posOffset>
                </wp:positionH>
                <wp:positionV relativeFrom="paragraph">
                  <wp:posOffset>22225</wp:posOffset>
                </wp:positionV>
                <wp:extent cx="3197860" cy="454025"/>
                <wp:effectExtent l="0" t="0" r="2540" b="3175"/>
                <wp:wrapNone/>
                <wp:docPr id="59" name="Text Box 59"/>
                <wp:cNvGraphicFramePr/>
                <a:graphic xmlns:a="http://schemas.openxmlformats.org/drawingml/2006/main">
                  <a:graphicData uri="http://schemas.microsoft.com/office/word/2010/wordprocessingShape">
                    <wps:wsp>
                      <wps:cNvSpPr txBox="1"/>
                      <wps:spPr>
                        <a:xfrm>
                          <a:off x="0" y="0"/>
                          <a:ext cx="3197860" cy="454025"/>
                        </a:xfrm>
                        <a:prstGeom prst="rect">
                          <a:avLst/>
                        </a:prstGeom>
                        <a:solidFill>
                          <a:prstClr val="white"/>
                        </a:solidFill>
                        <a:ln>
                          <a:noFill/>
                        </a:ln>
                      </wps:spPr>
                      <wps:txbx>
                        <w:txbxContent>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3FE8" id="Text Box 59" o:spid="_x0000_s1034" type="#_x0000_t202" style="position:absolute;left:0;text-align:left;margin-left:3.25pt;margin-top:1.75pt;width:251.8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" stroked="f">
                <v:textbox inset="0,0,0,0">
                  <w:txbxContent>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F23CB8" w:rsidRDefault="0004274A"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194344"/>
                    <w:p w:rsidR="0004274A" w:rsidRPr="003B5120" w:rsidRDefault="0004274A"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p>
    <w:p w:rsidR="00194344" w:rsidRDefault="00194344" w:rsidP="00194344">
      <w:pPr>
        <w:rPr>
          <w:rFonts w:ascii="Sylfaen" w:hAnsi="Sylfaen"/>
        </w:rPr>
      </w:pPr>
    </w:p>
    <w:p w:rsidR="00194344" w:rsidRDefault="00954905" w:rsidP="00194344">
      <w:pPr>
        <w:rPr>
          <w:rFonts w:ascii="Sylfaen" w:hAnsi="Sylfaen"/>
        </w:rPr>
      </w:pPr>
      <w:r w:rsidRPr="003B5120">
        <w:rPr>
          <w:rFonts w:ascii="Calibri" w:eastAsia="Calibri" w:hAnsi="Calibri" w:cs="Times New Roman"/>
          <w:noProof/>
        </w:rPr>
        <mc:AlternateContent>
          <mc:Choice Requires="wps">
            <w:drawing>
              <wp:anchor distT="0" distB="0" distL="114300" distR="114300" simplePos="0" relativeHeight="251685888" behindDoc="1" locked="0" layoutInCell="1" allowOverlap="1" wp14:anchorId="661C8AEF" wp14:editId="700AF08D">
                <wp:simplePos x="0" y="0"/>
                <wp:positionH relativeFrom="column">
                  <wp:posOffset>81280</wp:posOffset>
                </wp:positionH>
                <wp:positionV relativeFrom="paragraph">
                  <wp:posOffset>2416810</wp:posOffset>
                </wp:positionV>
                <wp:extent cx="3197860" cy="133350"/>
                <wp:effectExtent l="0" t="0" r="2540" b="0"/>
                <wp:wrapTopAndBottom/>
                <wp:docPr id="60" name="Text Box 60"/>
                <wp:cNvGraphicFramePr/>
                <a:graphic xmlns:a="http://schemas.openxmlformats.org/drawingml/2006/main">
                  <a:graphicData uri="http://schemas.microsoft.com/office/word/2010/wordprocessingShape">
                    <wps:wsp>
                      <wps:cNvSpPr txBox="1"/>
                      <wps:spPr>
                        <a:xfrm>
                          <a:off x="0" y="0"/>
                          <a:ext cx="3197860" cy="133350"/>
                        </a:xfrm>
                        <a:prstGeom prst="rect">
                          <a:avLst/>
                        </a:prstGeom>
                        <a:solidFill>
                          <a:prstClr val="white"/>
                        </a:solidFill>
                        <a:ln>
                          <a:noFill/>
                        </a:ln>
                      </wps:spPr>
                      <wps:txbx>
                        <w:txbxContent>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C8AEF" id="Text Box 60" o:spid="_x0000_s1035" type="#_x0000_t202" style="position:absolute;margin-left:6.4pt;margin-top:190.3pt;width:251.8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" stroked="f">
                <v:textbox inset="0,0,0,0">
                  <w:txbxContent>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F23CB8" w:rsidRDefault="0004274A"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04274A" w:rsidRDefault="0004274A" w:rsidP="00194344"/>
                    <w:p w:rsidR="0004274A" w:rsidRPr="003B5120" w:rsidRDefault="0004274A"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rsidR="00194344" w:rsidRDefault="00954905" w:rsidP="00194344">
      <w:pPr>
        <w:rPr>
          <w:rFonts w:ascii="Sylfaen" w:hAnsi="Sylfaen"/>
        </w:rPr>
      </w:pPr>
      <w:r>
        <w:rPr>
          <w:noProof/>
        </w:rPr>
        <w:drawing>
          <wp:anchor distT="0" distB="0" distL="114300" distR="114300" simplePos="0" relativeHeight="251728896" behindDoc="0" locked="0" layoutInCell="1" allowOverlap="1" wp14:anchorId="6EBB497B" wp14:editId="21FEE20E">
            <wp:simplePos x="0" y="0"/>
            <wp:positionH relativeFrom="column">
              <wp:posOffset>-4445</wp:posOffset>
            </wp:positionH>
            <wp:positionV relativeFrom="paragraph">
              <wp:posOffset>3810</wp:posOffset>
            </wp:positionV>
            <wp:extent cx="3182400" cy="1998000"/>
            <wp:effectExtent l="0" t="0" r="0" b="2540"/>
            <wp:wrapTopAndBottom/>
            <wp:docPr id="4" name="Chart 4">
              <a:extLst xmlns:a="http://schemas.openxmlformats.org/drawingml/2006/main">
                <a:ext uri="{FF2B5EF4-FFF2-40B4-BE49-F238E27FC236}">
                  <a16:creationId xmlns:a16="http://schemas.microsoft.com/office/drawing/2014/main" id="{279DE495-A5A3-4B21-AE85-4CBA8A952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94344" w:rsidRDefault="00194344" w:rsidP="00954905">
      <w:pPr>
        <w:rPr>
          <w:rFonts w:ascii="Sylfaen" w:hAnsi="Sylfaen"/>
        </w:rPr>
      </w:pPr>
    </w:p>
    <w:p w:rsidR="00194344" w:rsidRPr="00B87A65" w:rsidRDefault="00194344" w:rsidP="00194344">
      <w:pPr>
        <w:pStyle w:val="Heading1"/>
        <w:numPr>
          <w:ilvl w:val="0"/>
          <w:numId w:val="4"/>
        </w:numPr>
        <w:ind w:left="360" w:hanging="360"/>
        <w:rPr>
          <w:b/>
          <w:bCs w:val="0"/>
        </w:rPr>
      </w:pPr>
      <w:r w:rsidRPr="00B87A65">
        <w:rPr>
          <w:b/>
          <w:bCs w:val="0"/>
        </w:rPr>
        <w:t>სცენარები საშუალოვადიან პერიოდში</w:t>
      </w:r>
    </w:p>
    <w:p w:rsidR="00194344" w:rsidRPr="00D920D4" w:rsidRDefault="00FD2A2F" w:rsidP="00385E6A">
      <w:pPr>
        <w:spacing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00194344" w:rsidRPr="00D920D4">
        <w:rPr>
          <w:rFonts w:ascii="Sylfaen" w:hAnsi="Sylfaen" w:cs="Segoe UI"/>
          <w:sz w:val="20"/>
          <w:szCs w:val="20"/>
        </w:rPr>
        <w:t>ეკონომიკური პროგნოზების</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სამი სცენარი -</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 xml:space="preserve">საბაზისო, პოზიტიური და </w:t>
      </w:r>
      <w:r w:rsidR="00194344" w:rsidRPr="00D920D4">
        <w:rPr>
          <w:rFonts w:ascii="Sylfaen" w:hAnsi="Sylfaen" w:cs="Segoe UI"/>
          <w:sz w:val="20"/>
          <w:szCs w:val="20"/>
          <w:lang w:val="ka-GE"/>
        </w:rPr>
        <w:t>ნეგატიური</w:t>
      </w:r>
      <w:r w:rsidR="00194344" w:rsidRPr="00D920D4">
        <w:rPr>
          <w:rFonts w:ascii="Sylfaen" w:hAnsi="Sylfaen" w:cs="Segoe UI"/>
          <w:sz w:val="20"/>
          <w:szCs w:val="20"/>
        </w:rPr>
        <w:t>. აღნიშნული სცენარები ეფუძნება მე</w:t>
      </w:r>
      <w:r w:rsidR="00935545">
        <w:rPr>
          <w:rFonts w:ascii="Sylfaen" w:hAnsi="Sylfaen" w:cs="Segoe UI"/>
          <w:sz w:val="20"/>
          <w:szCs w:val="20"/>
          <w:lang w:val="ka-GE"/>
        </w:rPr>
        <w:t>ოთხე</w:t>
      </w:r>
      <w:r w:rsidR="00194344"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r w:rsidR="00385E6A" w:rsidRPr="00D920D4">
        <w:rPr>
          <w:rFonts w:ascii="Sylfaen" w:hAnsi="Sylfaen" w:cs="Segoe UI"/>
          <w:sz w:val="20"/>
          <w:szCs w:val="20"/>
        </w:rPr>
        <w:t>.</w:t>
      </w:r>
    </w:p>
    <w:p w:rsidR="00194344" w:rsidRDefault="00194344" w:rsidP="00385E6A">
      <w:pPr>
        <w:spacing w:line="276" w:lineRule="auto"/>
        <w:ind w:firstLine="540"/>
        <w:jc w:val="both"/>
        <w:rPr>
          <w:rFonts w:ascii="Sylfaen" w:hAnsi="Sylfaen" w:cs="Segoe UI"/>
          <w:sz w:val="20"/>
          <w:szCs w:val="20"/>
          <w:lang w:val="ka-GE"/>
        </w:rPr>
      </w:pPr>
      <w:r w:rsidRPr="00D920D4">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ცვლადებზ</w:t>
      </w:r>
      <m:oMath>
        <m:sSup>
          <m:sSupPr>
            <m:ctrlPr>
              <w:rPr>
                <w:rFonts w:ascii="Cambria Math" w:hAnsi="Cambria Math" w:cs="Segoe UI"/>
                <w:i/>
                <w:sz w:val="20"/>
                <w:szCs w:val="20"/>
                <w:lang w:val="ka-GE"/>
              </w:rPr>
            </m:ctrlPr>
          </m:sSupPr>
          <m:e>
            <m:r>
              <m:rPr>
                <m:sty m:val="p"/>
              </m:rPr>
              <w:rPr>
                <w:rFonts w:ascii="Sylfaen" w:hAnsi="Sylfaen" w:cs="Sylfaen"/>
                <w:sz w:val="20"/>
                <w:szCs w:val="20"/>
                <w:lang w:val="ka-GE"/>
              </w:rPr>
              <m:t>ე</m:t>
            </m:r>
          </m:e>
          <m:sup>
            <m:r>
              <w:rPr>
                <w:rFonts w:ascii="Cambria Math" w:hAnsi="Cambria Math" w:cs="Segoe UI"/>
                <w:sz w:val="20"/>
                <w:szCs w:val="20"/>
                <w:lang w:val="ka-GE"/>
              </w:rPr>
              <m:t>1</m:t>
            </m:r>
          </m:sup>
        </m:sSup>
      </m:oMath>
      <w:r w:rsidRPr="00D920D4">
        <w:rPr>
          <w:rFonts w:ascii="Sylfaen" w:hAnsi="Sylfaen" w:cs="Segoe UI"/>
          <w:sz w:val="20"/>
          <w:szCs w:val="20"/>
        </w:rPr>
        <w:t xml:space="preserve">, ხოლო შემდეგ ეგზოგენური ცვლადების საფუძველზე კეთდება პროგნოზები “საქართველოს ფისკალური მოდელის </w:t>
      </w:r>
      <m:oMath>
        <m:sSup>
          <m:sSupPr>
            <m:ctrlPr>
              <w:rPr>
                <w:rFonts w:ascii="Cambria Math" w:hAnsi="Cambria Math" w:cs="Segoe UI"/>
                <w:iCs/>
                <w:sz w:val="20"/>
                <w:szCs w:val="20"/>
              </w:rPr>
            </m:ctrlPr>
          </m:sSupPr>
          <m:e>
            <m:d>
              <m:dPr>
                <m:ctrlPr>
                  <w:rPr>
                    <w:rFonts w:ascii="Cambria Math" w:hAnsi="Cambria Math" w:cs="Segoe UI"/>
                    <w:iCs/>
                    <w:sz w:val="20"/>
                    <w:szCs w:val="20"/>
                  </w:rPr>
                </m:ctrlPr>
              </m:dPr>
              <m:e>
                <m:r>
                  <m:rPr>
                    <m:sty m:val="p"/>
                  </m:rPr>
                  <w:rPr>
                    <w:rFonts w:ascii="Cambria Math" w:hAnsi="Cambria Math" w:cs="Segoe UI"/>
                    <w:sz w:val="20"/>
                    <w:szCs w:val="20"/>
                  </w:rPr>
                  <m:t>GFM</m:t>
                </m:r>
              </m:e>
            </m:d>
          </m:e>
          <m:sup>
            <m:r>
              <m:rPr>
                <m:sty m:val="p"/>
              </m:rPr>
              <w:rPr>
                <w:rFonts w:ascii="Cambria Math" w:hAnsi="Cambria Math" w:cs="Segoe UI"/>
                <w:sz w:val="20"/>
                <w:szCs w:val="20"/>
              </w:rPr>
              <m:t>2</m:t>
            </m:r>
          </m:sup>
        </m:sSup>
      </m:oMath>
      <w:r w:rsidRPr="00D920D4">
        <w:rPr>
          <w:rFonts w:ascii="Sylfaen" w:hAnsi="Sylfaen" w:cs="Segoe UI"/>
          <w:sz w:val="20"/>
          <w:szCs w:val="20"/>
        </w:rPr>
        <w:t>” გამოყენებით. GFM მოდელი აღწერს საქართველოს ეკონომიკის საერთო წონასწორობას, სადაც 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(ჯამში 80-ზე მეტი ეგზოგენური ცვლადი). აღნიშნული ეგზოგენური ცვლადების შესახებ კეთდება დაშვებები, რის შედეგადაც მოდელი აკეთებს პროგნოზს ამ დაშვებების გავლენის გათვალისწინებით საქართველოს ეკონომიკაზე.</w:t>
      </w:r>
      <w:r w:rsidR="00C14283">
        <w:rPr>
          <w:rFonts w:ascii="Sylfaen" w:hAnsi="Sylfaen" w:cs="Segoe UI"/>
          <w:sz w:val="20"/>
          <w:szCs w:val="20"/>
          <w:lang w:val="ka-GE"/>
        </w:rPr>
        <w:t xml:space="preserve"> </w:t>
      </w:r>
    </w:p>
    <w:p w:rsidR="00C14283" w:rsidRPr="00C14283" w:rsidRDefault="00C14283" w:rsidP="00385E6A">
      <w:pPr>
        <w:spacing w:line="276" w:lineRule="auto"/>
        <w:ind w:firstLine="540"/>
        <w:jc w:val="both"/>
        <w:rPr>
          <w:rFonts w:ascii="Sylfaen" w:hAnsi="Sylfaen" w:cs="Segoe UI"/>
          <w:sz w:val="20"/>
          <w:szCs w:val="20"/>
          <w:lang w:val="ka-GE"/>
        </w:rPr>
      </w:pPr>
      <w:r>
        <w:rPr>
          <w:rFonts w:ascii="Sylfaen" w:hAnsi="Sylfaen" w:cs="Segoe UI"/>
          <w:sz w:val="20"/>
          <w:szCs w:val="20"/>
          <w:lang w:val="ka-GE"/>
        </w:rPr>
        <w:t>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w:t>
      </w:r>
      <w:r w:rsidR="00C300FF">
        <w:rPr>
          <w:rFonts w:ascii="Sylfaen" w:hAnsi="Sylfaen" w:cs="Segoe UI"/>
          <w:sz w:val="20"/>
          <w:szCs w:val="20"/>
          <w:lang w:val="ka-GE"/>
        </w:rPr>
        <w:t>ს</w:t>
      </w:r>
      <w:r>
        <w:rPr>
          <w:rFonts w:ascii="Sylfaen" w:hAnsi="Sylfaen" w:cs="Segoe UI"/>
          <w:sz w:val="20"/>
          <w:szCs w:val="20"/>
          <w:lang w:val="ka-GE"/>
        </w:rPr>
        <w:t xml:space="preserve">იმისტურ სცენარში გათვალისწინებულია რისკების მატერიალიზაცია მაღალი ალბათობით. </w:t>
      </w:r>
    </w:p>
    <w:p w:rsidR="00194344" w:rsidRPr="006211C7" w:rsidRDefault="00935545" w:rsidP="00194344">
      <w:pPr>
        <w:pStyle w:val="Heading2"/>
      </w:pPr>
      <w:r>
        <w:t>5</w:t>
      </w:r>
      <w:r w:rsidR="00194344">
        <w:t>.1 საბაზისო სცენარი</w:t>
      </w:r>
    </w:p>
    <w:p w:rsidR="00194344" w:rsidRPr="00194344" w:rsidRDefault="00194344" w:rsidP="00194344">
      <w:pPr>
        <w:spacing w:line="276" w:lineRule="auto"/>
        <w:ind w:firstLine="540"/>
        <w:jc w:val="both"/>
        <w:rPr>
          <w:rFonts w:ascii="Sylfaen" w:hAnsi="Sylfaen" w:cs="Segoe UI"/>
          <w:sz w:val="20"/>
          <w:szCs w:val="20"/>
        </w:rPr>
      </w:pPr>
      <w:r w:rsidRPr="00194344">
        <w:rPr>
          <w:rFonts w:ascii="Sylfaen" w:hAnsi="Sylfaen" w:cs="Segoe UI"/>
          <w:sz w:val="20"/>
          <w:szCs w:val="20"/>
        </w:rPr>
        <w:t>საბაზისო სცენ</w:t>
      </w:r>
      <w:r w:rsidR="00FD2A2F">
        <w:rPr>
          <w:rFonts w:ascii="Sylfaen" w:hAnsi="Sylfaen" w:cs="Segoe UI"/>
          <w:sz w:val="20"/>
          <w:szCs w:val="20"/>
          <w:lang w:val="ka-GE"/>
        </w:rPr>
        <w:t>ა</w:t>
      </w:r>
      <w:r w:rsidRPr="00194344">
        <w:rPr>
          <w:rFonts w:ascii="Sylfaen" w:hAnsi="Sylfaen" w:cs="Segoe UI"/>
          <w:sz w:val="20"/>
          <w:szCs w:val="20"/>
        </w:rPr>
        <w:t xml:space="preserve">რში 2020 წლის ეკონომიკური ზრდა -4.9 პროცენტის დონეზეა მოსალოდნელი. 2021 წლიდან ეკონომიკა გააგძელებს საშუალოდ 5 პროცენტიან ზრდას. ამ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6.0 პროცენტი. ეს ნიშნავს, რომ ეკონომიკა შეძლებს 2020 წელის დანაკარგის მხოლოდ </w:t>
      </w:r>
      <w:r w:rsidRPr="00194344">
        <w:rPr>
          <w:rFonts w:ascii="Sylfaen" w:hAnsi="Sylfaen" w:cs="Segoe UI"/>
          <w:sz w:val="20"/>
          <w:szCs w:val="20"/>
          <w:lang w:val="ka-GE"/>
        </w:rPr>
        <w:t xml:space="preserve">ერთი მესამედის </w:t>
      </w:r>
      <w:r w:rsidRPr="00194344">
        <w:rPr>
          <w:rFonts w:ascii="Sylfaen" w:hAnsi="Sylfaen" w:cs="Segoe UI"/>
          <w:sz w:val="20"/>
          <w:szCs w:val="20"/>
        </w:rPr>
        <w:t>აღდგენას.</w:t>
      </w:r>
      <w:r w:rsidRPr="00194344">
        <w:rPr>
          <w:rFonts w:ascii="Sylfaen" w:hAnsi="Sylfaen" w:cs="Segoe UI"/>
          <w:sz w:val="20"/>
          <w:szCs w:val="20"/>
          <w:lang w:val="ka-GE"/>
        </w:rPr>
        <w:t xml:space="preserve"> </w:t>
      </w:r>
      <w:r w:rsidRPr="00194344">
        <w:rPr>
          <w:rFonts w:ascii="Sylfaen" w:hAnsi="Sylfaen" w:cs="Segoe UI"/>
          <w:sz w:val="20"/>
          <w:szCs w:val="20"/>
        </w:rPr>
        <w:t>ჯამურად დანაკარგის მოცულობა 2020-2025 წლებში შეადგენს აღნიშნული პერიოდის საშუალო მშპ-ის 50 პროცენტს. დანაკარგი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p>
    <w:p w:rsidR="00194344" w:rsidRPr="00194344" w:rsidRDefault="00194344" w:rsidP="00370703">
      <w:pPr>
        <w:spacing w:line="276" w:lineRule="auto"/>
        <w:ind w:firstLine="540"/>
        <w:jc w:val="both"/>
        <w:rPr>
          <w:rFonts w:ascii="Sylfaen" w:hAnsi="Sylfaen" w:cs="Segoe UI"/>
          <w:sz w:val="20"/>
          <w:szCs w:val="20"/>
        </w:rPr>
      </w:pPr>
      <w:r w:rsidRPr="00194344">
        <w:rPr>
          <w:rFonts w:ascii="Sylfaen" w:hAnsi="Sylfaen" w:cs="Segoe UI"/>
          <w:sz w:val="20"/>
          <w:szCs w:val="20"/>
        </w:rPr>
        <w:t>2020 წელს ინფლაცია 5.</w:t>
      </w:r>
      <w:r w:rsidRPr="00194344">
        <w:rPr>
          <w:rFonts w:ascii="Sylfaen" w:hAnsi="Sylfaen" w:cs="Segoe UI"/>
          <w:sz w:val="20"/>
          <w:szCs w:val="20"/>
          <w:lang w:val="ka-GE"/>
        </w:rPr>
        <w:t>1</w:t>
      </w:r>
      <w:r w:rsidRPr="00194344">
        <w:rPr>
          <w:rFonts w:ascii="Sylfaen" w:hAnsi="Sylfaen" w:cs="Segoe UI"/>
          <w:sz w:val="20"/>
          <w:szCs w:val="20"/>
        </w:rPr>
        <w:t xml:space="preserve"> პროცენტს აღწევს. ეს მაჩვენებელი ძირითადად განპირობებულია წლის პირველ ნახევარში მიწოდების შოკთან. საშუალოვადიან პერიოდში ძლიერი იქნება მოთხოვნის მხრიდან ფასებზე ზეწოლა შემცირების მი</w:t>
      </w:r>
      <w:r w:rsidRPr="00194344">
        <w:rPr>
          <w:rFonts w:ascii="Sylfaen" w:hAnsi="Sylfaen" w:cs="Segoe UI"/>
          <w:sz w:val="20"/>
          <w:szCs w:val="20"/>
          <w:lang w:val="ka-GE"/>
        </w:rPr>
        <w:t>მ</w:t>
      </w:r>
      <w:r w:rsidRPr="00194344">
        <w:rPr>
          <w:rFonts w:ascii="Sylfaen" w:hAnsi="Sylfaen" w:cs="Segoe UI"/>
          <w:sz w:val="20"/>
          <w:szCs w:val="20"/>
        </w:rPr>
        <w:t>ართ</w:t>
      </w:r>
      <w:r w:rsidRPr="00194344">
        <w:rPr>
          <w:rFonts w:ascii="Sylfaen" w:hAnsi="Sylfaen" w:cs="Segoe UI"/>
          <w:sz w:val="20"/>
          <w:szCs w:val="20"/>
          <w:lang w:val="ka-GE"/>
        </w:rPr>
        <w:t>უ</w:t>
      </w:r>
      <w:r w:rsidRPr="00194344">
        <w:rPr>
          <w:rFonts w:ascii="Sylfaen" w:hAnsi="Sylfaen" w:cs="Segoe UI"/>
          <w:sz w:val="20"/>
          <w:szCs w:val="20"/>
        </w:rPr>
        <w:t>ლებით, რაც ინფლაციის სწრაფ დასტაბილურებას გამოიწვევს. მომდევნო წლებში მიზნობრივი ინფლაციის შენარჩუნება შესაძლებელი იქნება შერბილებული მონეტარული პოლიტიკით.</w:t>
      </w:r>
    </w:p>
    <w:p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 დარტყმას მიიღებს კერძო ინვესტიციები. რაც 2020 წელს მშპ-ს 15.3 პროცენტის დონეზეა მოსალოდნელი (3.1 პ.პ.-ით ნაკლები 2019</w:t>
      </w:r>
      <w:r w:rsidRPr="00194344">
        <w:rPr>
          <w:rFonts w:ascii="Sylfaen" w:hAnsi="Sylfaen" w:cs="Segoe UI"/>
          <w:sz w:val="20"/>
          <w:szCs w:val="20"/>
          <w:lang w:val="ka-GE"/>
        </w:rPr>
        <w:t>-</w:t>
      </w:r>
      <w:r w:rsidRPr="00194344">
        <w:rPr>
          <w:rFonts w:ascii="Sylfaen" w:hAnsi="Sylfaen" w:cs="Segoe UI"/>
          <w:sz w:val="20"/>
          <w:szCs w:val="20"/>
        </w:rPr>
        <w:t>თან შედარებით). საშუალოვადიან პერიოდში ინვესტიციები</w:t>
      </w:r>
      <w:r w:rsidRPr="00194344">
        <w:rPr>
          <w:rFonts w:ascii="Sylfaen" w:hAnsi="Sylfaen" w:cs="Segoe UI"/>
          <w:sz w:val="20"/>
          <w:szCs w:val="20"/>
          <w:lang w:val="ka-GE"/>
        </w:rPr>
        <w:t xml:space="preserve"> აღდგენას დაიწყებს და 2023 წლისთვის მოსალოდნელია რომ დაუბრუნდება საბაზისო მაჩვენებელს, თუმცა 2020-2022 წლებში მიღებული დანაკლისი შეამცირებს ზრდის პოტენციალს.</w:t>
      </w:r>
    </w:p>
    <w:p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შემცირებული ინვესტიციები, 2021 წლიდან, შეამცირებს მიმდინარე ანგარიშის დეფიციტს, რაც საგარეო მოწყვლადობის არგაუარესებისათვის პოზიტი</w:t>
      </w:r>
      <w:r w:rsidR="00370703">
        <w:rPr>
          <w:rFonts w:ascii="Sylfaen" w:hAnsi="Sylfaen" w:cs="Segoe UI"/>
          <w:sz w:val="20"/>
          <w:szCs w:val="20"/>
          <w:lang w:val="ka-GE"/>
        </w:rPr>
        <w:t>უ</w:t>
      </w:r>
      <w:r w:rsidRPr="00194344">
        <w:rPr>
          <w:rFonts w:ascii="Sylfaen" w:hAnsi="Sylfaen" w:cs="Segoe UI"/>
          <w:sz w:val="20"/>
          <w:szCs w:val="20"/>
          <w:lang w:val="ka-GE"/>
        </w:rPr>
        <w:t>რია. თუმცა, ზრდის პოტენციალის შემცირება მეორე მხრივ ხელს უშლის მაკროეკონომიკური სტაბილურობის აღდგენას.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w:t>
      </w:r>
    </w:p>
    <w:p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ტურიზმის სრული აღდგენა მნიშვნელოვანი გამოწვევა იქნება. 2022 წლისათვის მოსალოდნელია 2019 წლის მაჩვენებლის 80 პროცენტით აღდგენა. 100 პროცენტიანი ნიშნულის აღდგენა მხოლოდ 2025 წლისთვისაა მოსალოდნელი. საბაზისო სცენარი უშვებს, რომ ერთ მხრივ შემცირებული შემოსავლების ფონზე „ფუფუნების პროდუქტებზე“ მოთხოვნის შემცირება, ხოლო მეორე მხრივ „ტურისტული ბუმის“ შეჩერება ამ სექტორის წილს გლობალურ ეკონომიკაში შეამცირებს.</w:t>
      </w:r>
    </w:p>
    <w:p w:rsidR="006A04A6"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2020 წელს ექსპორტის კლება მოსალოდნელია 12.5 პროცენტით. 2021 წელს ექსპორტი ნაწილობრივ აღდგება 6.6 პროცენტით გაიზრდება. 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264"/>
      </w:tblGrid>
      <w:tr w:rsidR="00FD5F36" w:rsidTr="00DD32A0">
        <w:tc>
          <w:tcPr>
            <w:tcW w:w="10427" w:type="dxa"/>
            <w:gridSpan w:val="2"/>
          </w:tcPr>
          <w:p w:rsidR="00FD5F36" w:rsidRPr="00FD5F36" w:rsidRDefault="00FD5F36" w:rsidP="00FD5F36">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FD5F36" w:rsidTr="00DD32A0">
        <w:tc>
          <w:tcPr>
            <w:tcW w:w="5213" w:type="dxa"/>
          </w:tcPr>
          <w:p w:rsidR="00FD5F36" w:rsidRDefault="00FD5F36" w:rsidP="00370703">
            <w:pPr>
              <w:spacing w:line="276" w:lineRule="auto"/>
              <w:jc w:val="both"/>
              <w:rPr>
                <w:rFonts w:ascii="Sylfaen" w:hAnsi="Sylfaen" w:cs="Segoe UI"/>
                <w:sz w:val="20"/>
                <w:szCs w:val="20"/>
                <w:lang w:val="ka-GE"/>
              </w:rPr>
            </w:pPr>
            <w:r>
              <w:rPr>
                <w:noProof/>
              </w:rPr>
              <w:drawing>
                <wp:inline distT="0" distB="0" distL="0" distR="0" wp14:anchorId="4A32FBFE" wp14:editId="20FA0F00">
                  <wp:extent cx="3181350" cy="2910205"/>
                  <wp:effectExtent l="0" t="0" r="0" b="4445"/>
                  <wp:docPr id="11" name="Chart 1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14" w:type="dxa"/>
          </w:tcPr>
          <w:p w:rsidR="00FD5F36" w:rsidRDefault="00FD5F36" w:rsidP="00370703">
            <w:pPr>
              <w:spacing w:line="276" w:lineRule="auto"/>
              <w:jc w:val="both"/>
              <w:rPr>
                <w:rFonts w:ascii="Sylfaen" w:hAnsi="Sylfaen" w:cs="Segoe UI"/>
                <w:sz w:val="20"/>
                <w:szCs w:val="20"/>
                <w:lang w:val="ka-GE"/>
              </w:rPr>
            </w:pPr>
            <w:r>
              <w:rPr>
                <w:noProof/>
              </w:rPr>
              <w:drawing>
                <wp:inline distT="0" distB="0" distL="0" distR="0" wp14:anchorId="341E30AB" wp14:editId="053DD668">
                  <wp:extent cx="3200400" cy="2910205"/>
                  <wp:effectExtent l="0" t="0" r="0" b="4445"/>
                  <wp:docPr id="16" name="Chart 1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D32A0" w:rsidTr="00DD32A0">
        <w:tc>
          <w:tcPr>
            <w:tcW w:w="5213" w:type="dxa"/>
          </w:tcPr>
          <w:p w:rsidR="00DD32A0" w:rsidRDefault="00DD32A0" w:rsidP="00370703">
            <w:pPr>
              <w:spacing w:line="276" w:lineRule="auto"/>
              <w:jc w:val="both"/>
              <w:rPr>
                <w:noProof/>
              </w:rPr>
            </w:pPr>
            <w:r>
              <w:rPr>
                <w:noProof/>
              </w:rPr>
              <w:drawing>
                <wp:inline distT="0" distB="0" distL="0" distR="0" wp14:anchorId="305715CB" wp14:editId="17EBE790">
                  <wp:extent cx="3196166" cy="2751667"/>
                  <wp:effectExtent l="0" t="0" r="4445" b="0"/>
                  <wp:docPr id="17" name="Chart 1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14" w:type="dxa"/>
          </w:tcPr>
          <w:p w:rsidR="00DD32A0" w:rsidRDefault="00DD32A0" w:rsidP="00370703">
            <w:pPr>
              <w:spacing w:line="276" w:lineRule="auto"/>
              <w:jc w:val="both"/>
              <w:rPr>
                <w:noProof/>
              </w:rPr>
            </w:pPr>
            <w:r>
              <w:rPr>
                <w:noProof/>
              </w:rPr>
              <w:drawing>
                <wp:inline distT="0" distB="0" distL="0" distR="0" wp14:anchorId="501F387B" wp14:editId="58C6B73A">
                  <wp:extent cx="3259667" cy="2719917"/>
                  <wp:effectExtent l="0" t="0" r="0" b="4445"/>
                  <wp:docPr id="18" name="Chart 1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251EA" w:rsidRDefault="002251EA" w:rsidP="00370703">
      <w:pPr>
        <w:spacing w:line="276" w:lineRule="auto"/>
        <w:ind w:firstLine="540"/>
        <w:jc w:val="both"/>
        <w:rPr>
          <w:rFonts w:ascii="Sylfaen" w:hAnsi="Sylfaen" w:cs="Segoe UI"/>
          <w:sz w:val="20"/>
          <w:szCs w:val="20"/>
          <w:lang w:val="ka-GE"/>
        </w:rPr>
      </w:pPr>
    </w:p>
    <w:p w:rsidR="00D1750B" w:rsidRDefault="006A04A6" w:rsidP="00D1750B">
      <w:pPr>
        <w:rPr>
          <w:rFonts w:ascii="Sylfaen" w:hAnsi="Sylfaen"/>
          <w:lang w:val="ka-GE"/>
        </w:rPr>
      </w:pPr>
      <w:r>
        <w:t xml:space="preserve">4.2 </w:t>
      </w:r>
      <w:r w:rsidR="00194344" w:rsidRPr="006A04A6">
        <w:rPr>
          <w:rFonts w:ascii="Sylfaen" w:hAnsi="Sylfaen" w:cs="Sylfaen"/>
        </w:rPr>
        <w:t>ნეგატიური</w:t>
      </w:r>
      <w:r w:rsidR="00194344" w:rsidRPr="006A04A6">
        <w:t xml:space="preserve"> </w:t>
      </w:r>
      <w:r w:rsidR="00194344" w:rsidRPr="006A04A6">
        <w:rPr>
          <w:rFonts w:ascii="Sylfaen" w:hAnsi="Sylfaen" w:cs="Sylfaen"/>
        </w:rPr>
        <w:t>სცენარი</w:t>
      </w:r>
      <w:r w:rsidR="000614BE">
        <w:rPr>
          <w:noProof/>
        </w:rPr>
        <w:drawing>
          <wp:anchor distT="0" distB="0" distL="114300" distR="114300" simplePos="0" relativeHeight="251714560" behindDoc="0" locked="0" layoutInCell="1" allowOverlap="1" wp14:anchorId="5A6FFF2A" wp14:editId="159CD8F5">
            <wp:simplePos x="0" y="0"/>
            <wp:positionH relativeFrom="column">
              <wp:posOffset>82853</wp:posOffset>
            </wp:positionH>
            <wp:positionV relativeFrom="paragraph">
              <wp:posOffset>1321833</wp:posOffset>
            </wp:positionV>
            <wp:extent cx="3200400" cy="1964690"/>
            <wp:effectExtent l="0" t="0" r="0" b="0"/>
            <wp:wrapTopAndBottom/>
            <wp:docPr id="315" name="Chart 315">
              <a:extLst xmlns:a="http://schemas.openxmlformats.org/drawingml/2006/main">
                <a:ext uri="{FF2B5EF4-FFF2-40B4-BE49-F238E27FC236}">
                  <a16:creationId xmlns:a16="http://schemas.microsoft.com/office/drawing/2014/main" id="{978F81DC-A822-4A91-9ADA-14F02B9AA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614BE" w:rsidRPr="003B5120">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3D3BFBA8" wp14:editId="41322EE7">
                <wp:simplePos x="0" y="0"/>
                <wp:positionH relativeFrom="column">
                  <wp:posOffset>93715</wp:posOffset>
                </wp:positionH>
                <wp:positionV relativeFrom="paragraph">
                  <wp:posOffset>1097561</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FBA8" id="Text Box 274" o:spid="_x0000_s1036" type="#_x0000_t202" style="position:absolute;margin-left:7.4pt;margin-top:86.4pt;width:251.8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" stroked="f">
                <v:textbox inset="0,0,0,0">
                  <w:txbxContent>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F23CB8" w:rsidRDefault="0004274A"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614BE"/>
                    <w:p w:rsidR="0004274A" w:rsidRPr="003B5120" w:rsidRDefault="0004274A"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D1750B">
        <w:rPr>
          <w:rFonts w:ascii="Sylfaen" w:hAnsi="Sylfaen"/>
          <w:lang w:val="ka-GE"/>
        </w:rPr>
        <w:t xml:space="preserve"> </w:t>
      </w:r>
      <w:r w:rsidR="00D1750B">
        <w:rPr>
          <w:rFonts w:ascii="Sylfaen" w:hAnsi="Sylfaen"/>
          <w:lang w:val="ka-GE"/>
        </w:rPr>
        <w:br/>
      </w:r>
    </w:p>
    <w:p w:rsidR="00194344" w:rsidRPr="00D1750B" w:rsidRDefault="00D1750B" w:rsidP="0002511E">
      <w:pPr>
        <w:jc w:val="both"/>
        <w:rPr>
          <w:lang w:val="ka-GE"/>
        </w:rPr>
      </w:pPr>
      <w:r>
        <w:rPr>
          <w:rFonts w:ascii="Sylfaen" w:hAnsi="Sylfaen" w:cs="Segoe UI"/>
          <w:sz w:val="20"/>
          <w:szCs w:val="20"/>
          <w:lang w:val="ka-GE"/>
        </w:rPr>
        <w:t xml:space="preserve">ნეგატიური </w:t>
      </w:r>
      <w:r w:rsidR="00194344"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 ეს განსაკუთრებით ეხება გეოპოლიტიკურ რისკებს</w:t>
      </w:r>
      <w:r w:rsidR="00477AF8">
        <w:rPr>
          <w:rFonts w:ascii="Sylfaen" w:hAnsi="Sylfaen" w:cs="Segoe UI"/>
          <w:sz w:val="20"/>
          <w:szCs w:val="20"/>
          <w:lang w:val="ka-GE"/>
        </w:rPr>
        <w:t>.</w:t>
      </w:r>
      <w:r w:rsidR="00194344" w:rsidRPr="00194344">
        <w:rPr>
          <w:rFonts w:ascii="Sylfaen" w:hAnsi="Sylfaen" w:cs="Segoe UI"/>
          <w:sz w:val="20"/>
          <w:szCs w:val="20"/>
          <w:lang w:val="ka-GE"/>
        </w:rPr>
        <w:t xml:space="preserve"> 2020 წელს ეპიდემოილოგიური მდგომარეობის დრამატული გაუარესება მოსალოდნელი არ არის და ეკონომიკური კლება </w:t>
      </w:r>
      <w:r w:rsidR="00194344" w:rsidRPr="00194344">
        <w:rPr>
          <w:rFonts w:ascii="Sylfaen" w:hAnsi="Sylfaen" w:cs="Segoe UI"/>
          <w:sz w:val="20"/>
          <w:szCs w:val="20"/>
        </w:rPr>
        <w:t>5</w:t>
      </w:r>
      <w:r w:rsidR="00194344" w:rsidRPr="00194344">
        <w:rPr>
          <w:rFonts w:ascii="Sylfaen" w:hAnsi="Sylfaen" w:cs="Segoe UI"/>
          <w:sz w:val="20"/>
          <w:szCs w:val="20"/>
          <w:lang w:val="ka-GE"/>
        </w:rPr>
        <w:t>.</w:t>
      </w:r>
      <w:r w:rsidR="00194344" w:rsidRPr="00194344">
        <w:rPr>
          <w:rFonts w:ascii="Sylfaen" w:hAnsi="Sylfaen" w:cs="Segoe UI"/>
          <w:sz w:val="20"/>
          <w:szCs w:val="20"/>
        </w:rPr>
        <w:t>7</w:t>
      </w:r>
      <w:r w:rsidR="00194344" w:rsidRPr="00194344">
        <w:rPr>
          <w:rFonts w:ascii="Sylfaen" w:hAnsi="Sylfaen" w:cs="Segoe UI"/>
          <w:sz w:val="20"/>
          <w:szCs w:val="20"/>
          <w:lang w:val="ka-GE"/>
        </w:rPr>
        <w:t xml:space="preserve"> პროცენტის დონეზეა პროგნოზირებული. გაცილებით პრობლემურია საშუალოვადიანი პერიოდი, როდესაც 2021-2023 წლებში ეკონომიკა საშუალოდ 3 პროცენტით იზრდება.</w:t>
      </w:r>
      <w:r w:rsidR="00D920D4">
        <w:rPr>
          <w:rFonts w:ascii="Sylfaen" w:hAnsi="Sylfaen" w:cs="Segoe UI"/>
          <w:sz w:val="20"/>
          <w:szCs w:val="20"/>
          <w:lang w:val="ka-GE"/>
        </w:rPr>
        <w:t xml:space="preserve"> </w:t>
      </w:r>
    </w:p>
    <w:p w:rsidR="000614BE" w:rsidRDefault="000614BE" w:rsidP="00D920D4">
      <w:pPr>
        <w:spacing w:after="0" w:line="276" w:lineRule="auto"/>
        <w:ind w:firstLine="540"/>
        <w:jc w:val="both"/>
        <w:rPr>
          <w:rFonts w:ascii="Sylfaen" w:hAnsi="Sylfaen" w:cs="Segoe UI"/>
          <w:sz w:val="20"/>
          <w:szCs w:val="20"/>
          <w:lang w:val="ka-GE"/>
        </w:rPr>
      </w:pPr>
    </w:p>
    <w:p w:rsidR="00D920D4" w:rsidRPr="00194344" w:rsidRDefault="00D920D4" w:rsidP="00D920D4">
      <w:pPr>
        <w:spacing w:after="0" w:line="276" w:lineRule="auto"/>
        <w:ind w:firstLine="540"/>
        <w:jc w:val="both"/>
        <w:rPr>
          <w:rFonts w:ascii="Sylfaen" w:hAnsi="Sylfaen" w:cs="Segoe UI"/>
          <w:sz w:val="20"/>
          <w:szCs w:val="20"/>
          <w:lang w:val="ka-GE"/>
        </w:rPr>
      </w:pPr>
    </w:p>
    <w:p w:rsidR="00194344" w:rsidRPr="006A04A6" w:rsidRDefault="00935545" w:rsidP="006A04A6">
      <w:pPr>
        <w:pStyle w:val="Heading2"/>
        <w:rPr>
          <w:lang w:val="en-US"/>
        </w:rPr>
      </w:pPr>
      <w:r>
        <w:t>5.2</w:t>
      </w:r>
      <w:r w:rsidR="006A04A6">
        <w:rPr>
          <w:lang w:val="en-US"/>
        </w:rPr>
        <w:t xml:space="preserve"> </w:t>
      </w:r>
      <w:r w:rsidR="00194344" w:rsidRPr="006A04A6">
        <w:rPr>
          <w:lang w:val="en-US"/>
        </w:rPr>
        <w:t>პოზიტიური სცენარი</w:t>
      </w:r>
    </w:p>
    <w:p w:rsidR="00194344" w:rsidRDefault="00030183" w:rsidP="00D920D4">
      <w:pPr>
        <w:spacing w:after="0" w:line="276" w:lineRule="auto"/>
        <w:ind w:firstLine="540"/>
        <w:jc w:val="both"/>
        <w:rPr>
          <w:rFonts w:ascii="Sylfaen" w:hAnsi="Sylfaen" w:cs="Segoe UI"/>
          <w:sz w:val="20"/>
          <w:szCs w:val="20"/>
          <w:lang w:val="ka-GE"/>
        </w:rPr>
      </w:pPr>
      <w:r>
        <w:rPr>
          <w:noProof/>
        </w:rPr>
        <w:drawing>
          <wp:anchor distT="0" distB="0" distL="114300" distR="114300" simplePos="0" relativeHeight="251718656" behindDoc="0" locked="0" layoutInCell="1" allowOverlap="1" wp14:anchorId="3D3E29B6" wp14:editId="14D30423">
            <wp:simplePos x="0" y="0"/>
            <wp:positionH relativeFrom="column">
              <wp:posOffset>104642</wp:posOffset>
            </wp:positionH>
            <wp:positionV relativeFrom="paragraph">
              <wp:posOffset>1292816</wp:posOffset>
            </wp:positionV>
            <wp:extent cx="3200400" cy="2165985"/>
            <wp:effectExtent l="0" t="0" r="0" b="5715"/>
            <wp:wrapTopAndBottom/>
            <wp:docPr id="316" name="Chart 316">
              <a:extLst xmlns:a="http://schemas.openxmlformats.org/drawingml/2006/main">
                <a:ext uri="{FF2B5EF4-FFF2-40B4-BE49-F238E27FC236}">
                  <a16:creationId xmlns:a16="http://schemas.microsoft.com/office/drawing/2014/main" id="{04DF506F-9FA5-4B2E-8693-EEBC9A6D1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3B5120">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7E525E18" wp14:editId="38F0C571">
                <wp:simplePos x="0" y="0"/>
                <wp:positionH relativeFrom="column">
                  <wp:posOffset>93714</wp:posOffset>
                </wp:positionH>
                <wp:positionV relativeFrom="paragraph">
                  <wp:posOffset>1065604</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5E18" id="Text Box 12" o:spid="_x0000_s1037" type="#_x0000_t202" style="position:absolute;left:0;text-align:left;margin-left:7.4pt;margin-top:83.9pt;width:251.8pt;height: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" stroked="f">
                <v:textbox inset="0,0,0,0">
                  <w:txbxContent>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D1750B">
        <w:rPr>
          <w:rFonts w:ascii="Sylfaen" w:hAnsi="Sylfaen" w:cs="Segoe UI"/>
          <w:sz w:val="20"/>
          <w:szCs w:val="20"/>
          <w:lang w:val="ka-GE"/>
        </w:rPr>
        <w:t xml:space="preserve">პოზიტიური </w:t>
      </w:r>
      <w:r w:rsidR="00194344" w:rsidRPr="00194344">
        <w:rPr>
          <w:rFonts w:ascii="Sylfaen" w:hAnsi="Sylfaen" w:cs="Segoe UI"/>
          <w:sz w:val="20"/>
          <w:szCs w:val="20"/>
          <w:lang w:val="ka-GE"/>
        </w:rPr>
        <w:t>სცენარის მიხედვით, მე</w:t>
      </w:r>
      <w:r w:rsidR="00935545">
        <w:rPr>
          <w:rFonts w:ascii="Sylfaen" w:hAnsi="Sylfaen" w:cs="Segoe UI"/>
          <w:sz w:val="20"/>
          <w:szCs w:val="20"/>
          <w:lang w:val="ka-GE"/>
        </w:rPr>
        <w:t>ოთხე</w:t>
      </w:r>
      <w:r w:rsidR="00194344"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როსკების რეალიზებას შედარებით შესუსტებული სიდიდით. ასეთ სცენარში 2020 წელს ეკონმიკური კლება 4.7 პროცენტს შეადგენს, 2021-2023 წლებში საშუალოდ 7 პროცენტს ხოლო 2024 წლიდან სტაბილურდება 5 პროცენტის ფარგლებში. სცენარში გამორიცხულია რისკების ფინანსურ სექტორზე გავრცელება.</w:t>
      </w:r>
    </w:p>
    <w:p w:rsidR="006A04A6" w:rsidRDefault="006A04A6" w:rsidP="00194344">
      <w:pPr>
        <w:spacing w:after="0" w:line="276" w:lineRule="auto"/>
        <w:jc w:val="both"/>
        <w:rPr>
          <w:rFonts w:ascii="Sylfaen" w:hAnsi="Sylfaen" w:cs="Segoe UI"/>
          <w:sz w:val="20"/>
          <w:szCs w:val="20"/>
          <w:lang w:val="ka-GE"/>
        </w:rPr>
      </w:pPr>
    </w:p>
    <w:p w:rsidR="00D920D4" w:rsidRPr="00194344" w:rsidRDefault="00D920D4" w:rsidP="00194344">
      <w:pPr>
        <w:spacing w:after="0" w:line="276" w:lineRule="auto"/>
        <w:jc w:val="both"/>
        <w:rPr>
          <w:rFonts w:ascii="Sylfaen" w:hAnsi="Sylfaen" w:cs="Segoe UI"/>
          <w:sz w:val="20"/>
          <w:szCs w:val="20"/>
          <w:lang w:val="ka-GE"/>
        </w:rPr>
      </w:pPr>
    </w:p>
    <w:p w:rsidR="00194344" w:rsidRPr="006A04A6" w:rsidRDefault="00194344" w:rsidP="006A04A6">
      <w:pPr>
        <w:pStyle w:val="Heading2"/>
        <w:rPr>
          <w:lang w:val="en-US"/>
        </w:rPr>
      </w:pPr>
      <w:r w:rsidRPr="006A04A6">
        <w:rPr>
          <w:lang w:val="en-US"/>
        </w:rPr>
        <w:t>ეკონომიკის აღდგენის პერსპექტივები სცენარების მიხედვით</w:t>
      </w:r>
    </w:p>
    <w:p w:rsidR="00194344" w:rsidRPr="00194344" w:rsidRDefault="00194344" w:rsidP="00D920D4">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საბაზისო სცენარში 2025 წლისათვის ეკონომიკა ახერხებს 2020 წლის დანაკარგის მხოლოდ ერთი მესამედის კომპენსირებას. ამ პერიოდში ნულოვან სცენართან შედარებით ეკონომიკა 6.0 პროცენტით ჩამორჩება. უნდა აღინიშნოს, რომ დანაკარგის სრულად კოპმენსირება ვერ ხერხდება ვერც პოზიტიურ სცენარში - აღდგება დანაკარგის მხოლოდ 90 პროცენტი და ნულოვან სცენარს ეკონომიკა ჩამორჩება 0.8 პროცენტით. აღნიშნული ჩამორჩენის მთავარი მიზეზებია:</w:t>
      </w:r>
    </w:p>
    <w:p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001F1A" w:rsidRDefault="00194344" w:rsidP="00001F1A">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EA0190" w:rsidRPr="00DD32A0" w:rsidRDefault="00A36820" w:rsidP="00EA0190">
      <w:pPr>
        <w:pStyle w:val="ListParagraph"/>
        <w:numPr>
          <w:ilvl w:val="0"/>
          <w:numId w:val="19"/>
        </w:numPr>
        <w:spacing w:after="0" w:line="276" w:lineRule="auto"/>
        <w:ind w:left="360" w:hanging="180"/>
        <w:jc w:val="both"/>
        <w:rPr>
          <w:rFonts w:ascii="Sylfaen" w:hAnsi="Sylfaen" w:cs="Segoe UI"/>
          <w:sz w:val="20"/>
          <w:szCs w:val="20"/>
          <w:lang w:val="ka-GE"/>
        </w:rPr>
      </w:pPr>
      <w:r>
        <w:rPr>
          <w:noProof/>
        </w:rPr>
        <w:drawing>
          <wp:anchor distT="0" distB="0" distL="114300" distR="114300" simplePos="0" relativeHeight="251722752" behindDoc="0" locked="0" layoutInCell="1" allowOverlap="1" wp14:anchorId="07D34A4F" wp14:editId="4FD66C66">
            <wp:simplePos x="0" y="0"/>
            <wp:positionH relativeFrom="column">
              <wp:posOffset>-109220</wp:posOffset>
            </wp:positionH>
            <wp:positionV relativeFrom="paragraph">
              <wp:posOffset>489585</wp:posOffset>
            </wp:positionV>
            <wp:extent cx="3200400" cy="2589530"/>
            <wp:effectExtent l="0" t="0" r="0" b="1270"/>
            <wp:wrapTopAndBottom/>
            <wp:docPr id="317" name="Chart 317">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3B5120">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70096BA1" wp14:editId="3472F2E1">
                <wp:simplePos x="0" y="0"/>
                <wp:positionH relativeFrom="column">
                  <wp:posOffset>-1905</wp:posOffset>
                </wp:positionH>
                <wp:positionV relativeFrom="paragraph">
                  <wp:posOffset>256540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6BA1" id="Text Box 22" o:spid="_x0000_s1038" type="#_x0000_t202" style="position:absolute;left:0;text-align:left;margin-left:-.15pt;margin-top:20.2pt;width:251.8pt;height:1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" stroked="f">
                <v:textbox inset="0,0,0,0">
                  <w:txbxContent>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F23CB8" w:rsidRDefault="0004274A"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04274A" w:rsidRDefault="0004274A" w:rsidP="00030183"/>
                    <w:p w:rsidR="0004274A" w:rsidRPr="003B5120" w:rsidRDefault="0004274A"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194344" w:rsidRPr="00001F1A">
        <w:rPr>
          <w:rFonts w:ascii="Sylfaen" w:hAnsi="Sylfaen" w:cs="Segoe UI"/>
          <w:sz w:val="20"/>
          <w:szCs w:val="20"/>
          <w:lang w:val="ka-GE"/>
        </w:rPr>
        <w:t>ეკონომიკის დივერსიფიცირების დაბალი ხარისხი.</w:t>
      </w:r>
    </w:p>
    <w:sectPr w:rsidR="00EA0190" w:rsidRPr="00DD32A0" w:rsidSect="00CC0C7B">
      <w:headerReference w:type="default" r:id="rId20"/>
      <w:footerReference w:type="default" r:id="rId21"/>
      <w:footerReference w:type="first" r:id="rId22"/>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99" w:rsidRDefault="00606B99" w:rsidP="00CF6E50">
      <w:pPr>
        <w:spacing w:after="0" w:line="240" w:lineRule="auto"/>
      </w:pPr>
      <w:r>
        <w:separator/>
      </w:r>
    </w:p>
  </w:endnote>
  <w:endnote w:type="continuationSeparator" w:id="0">
    <w:p w:rsidR="00606B99" w:rsidRDefault="00606B99"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04274A" w:rsidRDefault="0004274A">
        <w:pPr>
          <w:pStyle w:val="Footer"/>
          <w:jc w:val="right"/>
        </w:pPr>
        <w:r>
          <w:fldChar w:fldCharType="begin"/>
        </w:r>
        <w:r>
          <w:instrText xml:space="preserve"> PAGE   \* MERGEFORMAT </w:instrText>
        </w:r>
        <w:r>
          <w:fldChar w:fldCharType="separate"/>
        </w:r>
        <w:r w:rsidR="00477AF8">
          <w:rPr>
            <w:noProof/>
          </w:rPr>
          <w:t>11</w:t>
        </w:r>
        <w:r>
          <w:rPr>
            <w:noProof/>
          </w:rPr>
          <w:fldChar w:fldCharType="end"/>
        </w:r>
      </w:p>
    </w:sdtContent>
  </w:sdt>
  <w:p w:rsidR="0004274A" w:rsidRDefault="0004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4A" w:rsidRDefault="0004274A">
    <w:pPr>
      <w:pStyle w:val="Footer"/>
      <w:jc w:val="right"/>
    </w:pPr>
  </w:p>
  <w:p w:rsidR="0004274A" w:rsidRDefault="0004274A">
    <w:pPr>
      <w:pStyle w:val="Footer"/>
      <w:jc w:val="right"/>
    </w:pPr>
  </w:p>
  <w:p w:rsidR="0004274A" w:rsidRDefault="0004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99" w:rsidRDefault="00606B99" w:rsidP="00CF6E50">
      <w:pPr>
        <w:spacing w:after="0" w:line="240" w:lineRule="auto"/>
      </w:pPr>
      <w:r>
        <w:separator/>
      </w:r>
    </w:p>
  </w:footnote>
  <w:footnote w:type="continuationSeparator" w:id="0">
    <w:p w:rsidR="00606B99" w:rsidRDefault="00606B99"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4A" w:rsidRDefault="0004274A">
    <w:pPr>
      <w:pStyle w:val="Header"/>
    </w:pPr>
    <w:r>
      <w:rPr>
        <w:noProof/>
      </w:rPr>
      <w:drawing>
        <wp:anchor distT="0" distB="0" distL="114300" distR="114300" simplePos="0" relativeHeight="251658240" behindDoc="0" locked="0" layoutInCell="1" allowOverlap="1" wp14:anchorId="2C7BFCF3" wp14:editId="2BA3B37F">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4F"/>
    <w:multiLevelType w:val="hybridMultilevel"/>
    <w:tmpl w:val="221C00CA"/>
    <w:lvl w:ilvl="0" w:tplc="BFC6A748">
      <w:start w:val="2019"/>
      <w:numFmt w:val="bullet"/>
      <w:lvlText w:val="•"/>
      <w:lvlJc w:val="left"/>
      <w:pPr>
        <w:ind w:left="1080" w:hanging="720"/>
      </w:pPr>
      <w:rPr>
        <w:rFonts w:ascii="Segoe UI" w:eastAsiaTheme="minorHAnsi" w:hAnsi="Segoe UI" w:cs="Segoe U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762B4"/>
    <w:multiLevelType w:val="multilevel"/>
    <w:tmpl w:val="F8F69F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7"/>
  </w:num>
  <w:num w:numId="4">
    <w:abstractNumId w:val="18"/>
  </w:num>
  <w:num w:numId="5">
    <w:abstractNumId w:val="2"/>
  </w:num>
  <w:num w:numId="6">
    <w:abstractNumId w:val="23"/>
  </w:num>
  <w:num w:numId="7">
    <w:abstractNumId w:val="11"/>
  </w:num>
  <w:num w:numId="8">
    <w:abstractNumId w:val="22"/>
  </w:num>
  <w:num w:numId="9">
    <w:abstractNumId w:val="12"/>
  </w:num>
  <w:num w:numId="10">
    <w:abstractNumId w:val="4"/>
  </w:num>
  <w:num w:numId="11">
    <w:abstractNumId w:val="5"/>
  </w:num>
  <w:num w:numId="12">
    <w:abstractNumId w:val="0"/>
  </w:num>
  <w:num w:numId="13">
    <w:abstractNumId w:val="20"/>
  </w:num>
  <w:num w:numId="14">
    <w:abstractNumId w:val="21"/>
  </w:num>
  <w:num w:numId="15">
    <w:abstractNumId w:val="24"/>
  </w:num>
  <w:num w:numId="16">
    <w:abstractNumId w:val="10"/>
  </w:num>
  <w:num w:numId="17">
    <w:abstractNumId w:val="13"/>
  </w:num>
  <w:num w:numId="18">
    <w:abstractNumId w:val="6"/>
  </w:num>
  <w:num w:numId="19">
    <w:abstractNumId w:val="17"/>
  </w:num>
  <w:num w:numId="20">
    <w:abstractNumId w:val="16"/>
  </w:num>
  <w:num w:numId="21">
    <w:abstractNumId w:val="3"/>
  </w:num>
  <w:num w:numId="22">
    <w:abstractNumId w:val="14"/>
  </w:num>
  <w:num w:numId="23">
    <w:abstractNumId w:val="9"/>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2511E"/>
    <w:rsid w:val="00030183"/>
    <w:rsid w:val="0004274A"/>
    <w:rsid w:val="00052985"/>
    <w:rsid w:val="000537E8"/>
    <w:rsid w:val="000614BE"/>
    <w:rsid w:val="00063706"/>
    <w:rsid w:val="00077166"/>
    <w:rsid w:val="000A4D4A"/>
    <w:rsid w:val="000A655A"/>
    <w:rsid w:val="000B4EB7"/>
    <w:rsid w:val="000B5B7B"/>
    <w:rsid w:val="000B6C34"/>
    <w:rsid w:val="000B732B"/>
    <w:rsid w:val="000C47D6"/>
    <w:rsid w:val="000C491B"/>
    <w:rsid w:val="000E5971"/>
    <w:rsid w:val="000F0EE6"/>
    <w:rsid w:val="000F2641"/>
    <w:rsid w:val="000F2773"/>
    <w:rsid w:val="001235E3"/>
    <w:rsid w:val="00124E00"/>
    <w:rsid w:val="00130881"/>
    <w:rsid w:val="00131FBD"/>
    <w:rsid w:val="00136444"/>
    <w:rsid w:val="001428EE"/>
    <w:rsid w:val="0014592A"/>
    <w:rsid w:val="00166E5C"/>
    <w:rsid w:val="001701C5"/>
    <w:rsid w:val="001710C5"/>
    <w:rsid w:val="00194344"/>
    <w:rsid w:val="001A620E"/>
    <w:rsid w:val="001B0BC7"/>
    <w:rsid w:val="001B3C2F"/>
    <w:rsid w:val="001D471D"/>
    <w:rsid w:val="001E5B0A"/>
    <w:rsid w:val="00200F0D"/>
    <w:rsid w:val="00220221"/>
    <w:rsid w:val="002251EA"/>
    <w:rsid w:val="002314FA"/>
    <w:rsid w:val="0023365D"/>
    <w:rsid w:val="0023637E"/>
    <w:rsid w:val="00236979"/>
    <w:rsid w:val="002462AA"/>
    <w:rsid w:val="0025046C"/>
    <w:rsid w:val="002515EE"/>
    <w:rsid w:val="00266FC2"/>
    <w:rsid w:val="00283359"/>
    <w:rsid w:val="00283E23"/>
    <w:rsid w:val="00286FA6"/>
    <w:rsid w:val="00291494"/>
    <w:rsid w:val="002B0477"/>
    <w:rsid w:val="002B533F"/>
    <w:rsid w:val="002F46DB"/>
    <w:rsid w:val="00301A5B"/>
    <w:rsid w:val="0030260C"/>
    <w:rsid w:val="00311D76"/>
    <w:rsid w:val="00322276"/>
    <w:rsid w:val="003350DD"/>
    <w:rsid w:val="00342699"/>
    <w:rsid w:val="003517E4"/>
    <w:rsid w:val="00351D22"/>
    <w:rsid w:val="00370065"/>
    <w:rsid w:val="00370703"/>
    <w:rsid w:val="00374560"/>
    <w:rsid w:val="00385E6A"/>
    <w:rsid w:val="00386ED5"/>
    <w:rsid w:val="003A1B4F"/>
    <w:rsid w:val="003A6407"/>
    <w:rsid w:val="003B5120"/>
    <w:rsid w:val="003C4CA4"/>
    <w:rsid w:val="003D4330"/>
    <w:rsid w:val="003D648A"/>
    <w:rsid w:val="003F54AC"/>
    <w:rsid w:val="00401E4E"/>
    <w:rsid w:val="00402C9C"/>
    <w:rsid w:val="00405305"/>
    <w:rsid w:val="004175DD"/>
    <w:rsid w:val="00417878"/>
    <w:rsid w:val="004221DF"/>
    <w:rsid w:val="0042358B"/>
    <w:rsid w:val="004368AD"/>
    <w:rsid w:val="00445D2F"/>
    <w:rsid w:val="00446EAD"/>
    <w:rsid w:val="00454430"/>
    <w:rsid w:val="00456DB8"/>
    <w:rsid w:val="004579CC"/>
    <w:rsid w:val="00464D38"/>
    <w:rsid w:val="00465AF4"/>
    <w:rsid w:val="0046718B"/>
    <w:rsid w:val="00474D98"/>
    <w:rsid w:val="00475BD8"/>
    <w:rsid w:val="0047714D"/>
    <w:rsid w:val="00477AF8"/>
    <w:rsid w:val="004A7F97"/>
    <w:rsid w:val="004B26ED"/>
    <w:rsid w:val="004B6FE2"/>
    <w:rsid w:val="004D0355"/>
    <w:rsid w:val="004E665D"/>
    <w:rsid w:val="004F2FF8"/>
    <w:rsid w:val="0050180A"/>
    <w:rsid w:val="00503477"/>
    <w:rsid w:val="005074EE"/>
    <w:rsid w:val="00525598"/>
    <w:rsid w:val="00526F02"/>
    <w:rsid w:val="00531C8D"/>
    <w:rsid w:val="005320D0"/>
    <w:rsid w:val="0054193C"/>
    <w:rsid w:val="005430BA"/>
    <w:rsid w:val="0054437A"/>
    <w:rsid w:val="00562830"/>
    <w:rsid w:val="00563FF2"/>
    <w:rsid w:val="0057236C"/>
    <w:rsid w:val="00592DF7"/>
    <w:rsid w:val="005B7D6E"/>
    <w:rsid w:val="005C08C7"/>
    <w:rsid w:val="005C6654"/>
    <w:rsid w:val="005D4934"/>
    <w:rsid w:val="005E472D"/>
    <w:rsid w:val="00600021"/>
    <w:rsid w:val="00606B99"/>
    <w:rsid w:val="00614986"/>
    <w:rsid w:val="00620B86"/>
    <w:rsid w:val="006211C7"/>
    <w:rsid w:val="00627DEF"/>
    <w:rsid w:val="00655390"/>
    <w:rsid w:val="00657927"/>
    <w:rsid w:val="0066647C"/>
    <w:rsid w:val="00667D4A"/>
    <w:rsid w:val="0067152A"/>
    <w:rsid w:val="00674AEB"/>
    <w:rsid w:val="00676827"/>
    <w:rsid w:val="006835BA"/>
    <w:rsid w:val="00690744"/>
    <w:rsid w:val="006A04A6"/>
    <w:rsid w:val="006C10F6"/>
    <w:rsid w:val="006C5B1A"/>
    <w:rsid w:val="006E0C61"/>
    <w:rsid w:val="006E16D8"/>
    <w:rsid w:val="007046B2"/>
    <w:rsid w:val="007415FB"/>
    <w:rsid w:val="00742CD0"/>
    <w:rsid w:val="007440C0"/>
    <w:rsid w:val="0074672D"/>
    <w:rsid w:val="00752D5E"/>
    <w:rsid w:val="00761EC9"/>
    <w:rsid w:val="007A0D1D"/>
    <w:rsid w:val="007A22C6"/>
    <w:rsid w:val="007B49B9"/>
    <w:rsid w:val="007C4893"/>
    <w:rsid w:val="007D3FC0"/>
    <w:rsid w:val="007E66B6"/>
    <w:rsid w:val="007E6B28"/>
    <w:rsid w:val="007F3F47"/>
    <w:rsid w:val="00805936"/>
    <w:rsid w:val="00805D8D"/>
    <w:rsid w:val="00806A24"/>
    <w:rsid w:val="00810365"/>
    <w:rsid w:val="00833E61"/>
    <w:rsid w:val="00834597"/>
    <w:rsid w:val="008555E8"/>
    <w:rsid w:val="00862E39"/>
    <w:rsid w:val="00875F23"/>
    <w:rsid w:val="008854FC"/>
    <w:rsid w:val="008B756A"/>
    <w:rsid w:val="008C1454"/>
    <w:rsid w:val="008C6634"/>
    <w:rsid w:val="008D7997"/>
    <w:rsid w:val="008F0CBE"/>
    <w:rsid w:val="008F3BD3"/>
    <w:rsid w:val="008F5E38"/>
    <w:rsid w:val="00932578"/>
    <w:rsid w:val="00935545"/>
    <w:rsid w:val="0093558D"/>
    <w:rsid w:val="00945B6B"/>
    <w:rsid w:val="00954905"/>
    <w:rsid w:val="009708BE"/>
    <w:rsid w:val="00994C3C"/>
    <w:rsid w:val="009A31BB"/>
    <w:rsid w:val="009B0995"/>
    <w:rsid w:val="009B30D7"/>
    <w:rsid w:val="009C6005"/>
    <w:rsid w:val="009E5E03"/>
    <w:rsid w:val="009E6E7C"/>
    <w:rsid w:val="00A02540"/>
    <w:rsid w:val="00A123B9"/>
    <w:rsid w:val="00A14C5A"/>
    <w:rsid w:val="00A16130"/>
    <w:rsid w:val="00A172F9"/>
    <w:rsid w:val="00A35B99"/>
    <w:rsid w:val="00A36820"/>
    <w:rsid w:val="00A62C3D"/>
    <w:rsid w:val="00A90CBB"/>
    <w:rsid w:val="00A97359"/>
    <w:rsid w:val="00AB7B89"/>
    <w:rsid w:val="00AC704F"/>
    <w:rsid w:val="00AD6CFA"/>
    <w:rsid w:val="00AF038C"/>
    <w:rsid w:val="00AF2B97"/>
    <w:rsid w:val="00B207A3"/>
    <w:rsid w:val="00B51837"/>
    <w:rsid w:val="00B529C1"/>
    <w:rsid w:val="00B60C33"/>
    <w:rsid w:val="00B633EC"/>
    <w:rsid w:val="00B702F1"/>
    <w:rsid w:val="00B83CE9"/>
    <w:rsid w:val="00B850F3"/>
    <w:rsid w:val="00B87A65"/>
    <w:rsid w:val="00B87E73"/>
    <w:rsid w:val="00B90B35"/>
    <w:rsid w:val="00B949D5"/>
    <w:rsid w:val="00BA6F80"/>
    <w:rsid w:val="00BC58DC"/>
    <w:rsid w:val="00BD0FF1"/>
    <w:rsid w:val="00BD7F05"/>
    <w:rsid w:val="00BE2DB2"/>
    <w:rsid w:val="00BE35C2"/>
    <w:rsid w:val="00BF22DB"/>
    <w:rsid w:val="00C03D07"/>
    <w:rsid w:val="00C05DF7"/>
    <w:rsid w:val="00C1066B"/>
    <w:rsid w:val="00C14283"/>
    <w:rsid w:val="00C300FF"/>
    <w:rsid w:val="00C3097C"/>
    <w:rsid w:val="00C354E6"/>
    <w:rsid w:val="00C61944"/>
    <w:rsid w:val="00C73A5E"/>
    <w:rsid w:val="00C75FAB"/>
    <w:rsid w:val="00CB3C84"/>
    <w:rsid w:val="00CC08A2"/>
    <w:rsid w:val="00CC0C7B"/>
    <w:rsid w:val="00CC0EC6"/>
    <w:rsid w:val="00CC1F8E"/>
    <w:rsid w:val="00CD7662"/>
    <w:rsid w:val="00CE195E"/>
    <w:rsid w:val="00CF64BC"/>
    <w:rsid w:val="00CF6E50"/>
    <w:rsid w:val="00D1750B"/>
    <w:rsid w:val="00D1769C"/>
    <w:rsid w:val="00D46152"/>
    <w:rsid w:val="00D51D63"/>
    <w:rsid w:val="00D53F78"/>
    <w:rsid w:val="00D56AF5"/>
    <w:rsid w:val="00D66DEC"/>
    <w:rsid w:val="00D75108"/>
    <w:rsid w:val="00D751E7"/>
    <w:rsid w:val="00D86BED"/>
    <w:rsid w:val="00D920D4"/>
    <w:rsid w:val="00DA0567"/>
    <w:rsid w:val="00DB2940"/>
    <w:rsid w:val="00DB6D28"/>
    <w:rsid w:val="00DC32CF"/>
    <w:rsid w:val="00DD32A0"/>
    <w:rsid w:val="00DD3E47"/>
    <w:rsid w:val="00E00D18"/>
    <w:rsid w:val="00E02371"/>
    <w:rsid w:val="00E1050F"/>
    <w:rsid w:val="00E16686"/>
    <w:rsid w:val="00E2698F"/>
    <w:rsid w:val="00E33BBB"/>
    <w:rsid w:val="00E42525"/>
    <w:rsid w:val="00E61957"/>
    <w:rsid w:val="00E61C69"/>
    <w:rsid w:val="00E67796"/>
    <w:rsid w:val="00E71AFC"/>
    <w:rsid w:val="00E72A49"/>
    <w:rsid w:val="00E824A4"/>
    <w:rsid w:val="00E8516D"/>
    <w:rsid w:val="00E85C15"/>
    <w:rsid w:val="00E901A8"/>
    <w:rsid w:val="00E96B8C"/>
    <w:rsid w:val="00EA0190"/>
    <w:rsid w:val="00EB6213"/>
    <w:rsid w:val="00EC4B0E"/>
    <w:rsid w:val="00ED418B"/>
    <w:rsid w:val="00ED4BE4"/>
    <w:rsid w:val="00ED6D04"/>
    <w:rsid w:val="00EE05CC"/>
    <w:rsid w:val="00EE19F0"/>
    <w:rsid w:val="00EF40B8"/>
    <w:rsid w:val="00EF66D3"/>
    <w:rsid w:val="00EF6703"/>
    <w:rsid w:val="00F23CB8"/>
    <w:rsid w:val="00F26EE2"/>
    <w:rsid w:val="00F43054"/>
    <w:rsid w:val="00F46B98"/>
    <w:rsid w:val="00F525E1"/>
    <w:rsid w:val="00F729C6"/>
    <w:rsid w:val="00F900A8"/>
    <w:rsid w:val="00FA282F"/>
    <w:rsid w:val="00FA79F1"/>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7513E"/>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Normal"/>
    <w:next w:val="Normal"/>
    <w:link w:val="Heading2Char"/>
    <w:uiPriority w:val="9"/>
    <w:unhideWhenUsed/>
    <w:qFormat/>
    <w:rsid w:val="00130881"/>
    <w:pPr>
      <w:spacing w:line="240" w:lineRule="auto"/>
      <w:jc w:val="both"/>
      <w:outlineLvl w:val="1"/>
    </w:pPr>
    <w:rPr>
      <w:rFonts w:ascii="BPG Nino Mtavruli" w:hAnsi="BPG Nino Mtavruli"/>
      <w:sz w:val="24"/>
      <w:szCs w:val="26"/>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30881"/>
    <w:rPr>
      <w:rFonts w:ascii="BPG Nino Mtavruli" w:hAnsi="BPG Nino Mtavruli"/>
      <w:sz w:val="24"/>
      <w:szCs w:val="26"/>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ghius\Downloads\WEOJun2020updat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arghius\Desktop\&#4306;&#4320;&#4304;&#4324;&#4312;&#4313;&#4308;&#4305;&#431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Marghius\Desktop\&#4306;&#4320;&#4304;&#4324;&#4312;&#4313;&#4308;&#4305;&#431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Marghius\Desktop\&#4306;&#4320;&#4304;&#4324;&#4312;&#4313;&#4308;&#4305;&#431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mirza.gelashvili\Desktop\MTFS\&#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irza.gelashvili\Desktop\MTFS\&#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oleObject" Target="file:///C:\Users\mirza.gelashvili\AppData\Local\Microsoft\Windows\INetCache\Content.Outlook\THN4GUYW\2021%20FRS%20Chart%20sen%2017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irza.gelashvili\AppData\Local\Microsoft\Windows\INetCache\Content.Outlook\THN4GUYW\2021%20FRS%20Chart%20sen%2017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irza.gelashvili\AppData\Local\Microsoft\Windows\INetCache\Content.Outlook\THN4GUYW\2021%20FRS%20Chart%20sen%2017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irza.gelashvili\AppData\Local\Microsoft\Windows\INetCache\Content.Outlook\THN4GUYW\2021%20FRS%20Chart%20sen%2017_1.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192257217847772E-2"/>
          <c:y val="5.0925925925925923E-2"/>
          <c:w val="0.88891885389326342"/>
          <c:h val="0.76226856778037877"/>
        </c:manualLayout>
      </c:layout>
      <c:barChart>
        <c:barDir val="col"/>
        <c:grouping val="clustered"/>
        <c:varyColors val="0"/>
        <c:ser>
          <c:idx val="0"/>
          <c:order val="0"/>
          <c:tx>
            <c:strRef>
              <c:f>'Table 1.'!$N$11</c:f>
              <c:strCache>
                <c:ptCount val="1"/>
                <c:pt idx="0">
                  <c:v>განვითარებული</c:v>
                </c:pt>
              </c:strCache>
            </c:strRef>
          </c:tx>
          <c:spPr>
            <a:solidFill>
              <a:srgbClr val="0099CC"/>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1.'!$O$10:$P$10</c:f>
              <c:numCache>
                <c:formatCode>General</c:formatCode>
                <c:ptCount val="2"/>
                <c:pt idx="0">
                  <c:v>2020</c:v>
                </c:pt>
                <c:pt idx="1">
                  <c:v>2021</c:v>
                </c:pt>
              </c:numCache>
            </c:numRef>
          </c:cat>
          <c:val>
            <c:numRef>
              <c:f>'Table 1.'!$O$11:$P$11</c:f>
              <c:numCache>
                <c:formatCode>0.0%</c:formatCode>
                <c:ptCount val="2"/>
                <c:pt idx="0">
                  <c:v>-0.08</c:v>
                </c:pt>
                <c:pt idx="1">
                  <c:v>4.8000000000000001E-2</c:v>
                </c:pt>
              </c:numCache>
            </c:numRef>
          </c:val>
          <c:extLst>
            <c:ext xmlns:c16="http://schemas.microsoft.com/office/drawing/2014/chart" uri="{C3380CC4-5D6E-409C-BE32-E72D297353CC}">
              <c16:uniqueId val="{00000000-F685-43F6-8DF3-17DFF161A2DF}"/>
            </c:ext>
          </c:extLst>
        </c:ser>
        <c:ser>
          <c:idx val="1"/>
          <c:order val="1"/>
          <c:tx>
            <c:strRef>
              <c:f>'Table 1.'!$N$12</c:f>
              <c:strCache>
                <c:ptCount val="1"/>
                <c:pt idx="0">
                  <c:v>განვითარებადი</c:v>
                </c:pt>
              </c:strCache>
            </c:strRef>
          </c:tx>
          <c:spPr>
            <a:solidFill>
              <a:schemeClr val="accent2">
                <a:lumMod val="60000"/>
                <a:lumOff val="40000"/>
              </a:schemeClr>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1.'!$O$10:$P$10</c:f>
              <c:numCache>
                <c:formatCode>General</c:formatCode>
                <c:ptCount val="2"/>
                <c:pt idx="0">
                  <c:v>2020</c:v>
                </c:pt>
                <c:pt idx="1">
                  <c:v>2021</c:v>
                </c:pt>
              </c:numCache>
            </c:numRef>
          </c:cat>
          <c:val>
            <c:numRef>
              <c:f>'Table 1.'!$O$12:$P$12</c:f>
              <c:numCache>
                <c:formatCode>0.0%</c:formatCode>
                <c:ptCount val="2"/>
                <c:pt idx="0">
                  <c:v>-0.03</c:v>
                </c:pt>
                <c:pt idx="1">
                  <c:v>5.9000000000000004E-2</c:v>
                </c:pt>
              </c:numCache>
            </c:numRef>
          </c:val>
          <c:extLst>
            <c:ext xmlns:c16="http://schemas.microsoft.com/office/drawing/2014/chart" uri="{C3380CC4-5D6E-409C-BE32-E72D297353CC}">
              <c16:uniqueId val="{00000001-F685-43F6-8DF3-17DFF161A2DF}"/>
            </c:ext>
          </c:extLst>
        </c:ser>
        <c:dLbls>
          <c:dLblPos val="outEnd"/>
          <c:showLegendKey val="0"/>
          <c:showVal val="1"/>
          <c:showCatName val="0"/>
          <c:showSerName val="0"/>
          <c:showPercent val="0"/>
          <c:showBubbleSize val="0"/>
        </c:dLbls>
        <c:gapWidth val="100"/>
        <c:axId val="1839062303"/>
        <c:axId val="1838182911"/>
      </c:barChart>
      <c:catAx>
        <c:axId val="183906230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38182911"/>
        <c:crosses val="autoZero"/>
        <c:auto val="1"/>
        <c:lblAlgn val="ctr"/>
        <c:lblOffset val="100"/>
        <c:noMultiLvlLbl val="0"/>
      </c:catAx>
      <c:valAx>
        <c:axId val="183818291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39062303"/>
        <c:crosses val="autoZero"/>
        <c:crossBetween val="between"/>
      </c:valAx>
      <c:spPr>
        <a:noFill/>
        <a:ln>
          <a:noFill/>
        </a:ln>
        <a:effectLst/>
      </c:spPr>
    </c:plotArea>
    <c:legend>
      <c:legendPos val="b"/>
      <c:layout>
        <c:manualLayout>
          <c:xMode val="edge"/>
          <c:yMode val="edge"/>
          <c:x val="0.17798958245558189"/>
          <c:y val="0.89577465376446386"/>
          <c:w val="0.65194790603612118"/>
          <c:h val="8.302767797904435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7496562929634E-2"/>
          <c:y val="2.4854681122974811E-2"/>
          <c:w val="0.88488376452943385"/>
          <c:h val="0.89086174437619381"/>
        </c:manualLayout>
      </c:layout>
      <c:lineChart>
        <c:grouping val="standard"/>
        <c:varyColors val="0"/>
        <c:ser>
          <c:idx val="0"/>
          <c:order val="0"/>
          <c:tx>
            <c:strRef>
              <c:f>Sheet2!$K$4</c:f>
              <c:strCache>
                <c:ptCount val="1"/>
                <c:pt idx="0">
                  <c:v>ნეგატიური</c:v>
                </c:pt>
              </c:strCache>
            </c:strRef>
          </c:tx>
          <c:spPr>
            <a:ln w="19050" cap="rnd">
              <a:solidFill>
                <a:srgbClr val="FF5050"/>
              </a:solidFill>
              <a:round/>
            </a:ln>
            <a:effectLst/>
          </c:spPr>
          <c:marker>
            <c:symbol val="none"/>
          </c:marker>
          <c:dLbls>
            <c:dLbl>
              <c:idx val="1"/>
              <c:layout>
                <c:manualLayout>
                  <c:x val="-5.4166666666666669E-2"/>
                  <c:y val="4.7498421971683032E-2"/>
                </c:manualLayout>
              </c:layout>
              <c:tx>
                <c:rich>
                  <a:bodyPr/>
                  <a:lstStyle/>
                  <a:p>
                    <a:r>
                      <a:rPr lang="en-US"/>
                      <a:t>-5.7%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EB-46C6-BD4C-0D36167515F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Sheet2!$H$5:$H$11</c:f>
              <c:numCache>
                <c:formatCode>General</c:formatCode>
                <c:ptCount val="7"/>
                <c:pt idx="0">
                  <c:v>2019</c:v>
                </c:pt>
                <c:pt idx="1">
                  <c:v>2020</c:v>
                </c:pt>
                <c:pt idx="2">
                  <c:v>2021</c:v>
                </c:pt>
                <c:pt idx="3">
                  <c:v>2022</c:v>
                </c:pt>
                <c:pt idx="4">
                  <c:v>2023</c:v>
                </c:pt>
                <c:pt idx="5">
                  <c:v>2024</c:v>
                </c:pt>
                <c:pt idx="6">
                  <c:v>2025</c:v>
                </c:pt>
              </c:numCache>
            </c:numRef>
          </c:cat>
          <c:val>
            <c:numRef>
              <c:f>Sheet2!$K$5:$K$11</c:f>
              <c:numCache>
                <c:formatCode>0.0%</c:formatCode>
                <c:ptCount val="7"/>
                <c:pt idx="0">
                  <c:v>5.0999999999999997E-2</c:v>
                </c:pt>
                <c:pt idx="1">
                  <c:v>-0.06</c:v>
                </c:pt>
                <c:pt idx="2">
                  <c:v>0.02</c:v>
                </c:pt>
                <c:pt idx="3">
                  <c:v>0.02</c:v>
                </c:pt>
                <c:pt idx="4">
                  <c:v>3.3000000000000002E-2</c:v>
                </c:pt>
                <c:pt idx="5">
                  <c:v>5.7000000000000002E-2</c:v>
                </c:pt>
                <c:pt idx="6">
                  <c:v>6.6000000000000003E-2</c:v>
                </c:pt>
              </c:numCache>
            </c:numRef>
          </c:val>
          <c:smooth val="0"/>
          <c:extLst>
            <c:ext xmlns:c16="http://schemas.microsoft.com/office/drawing/2014/chart" uri="{C3380CC4-5D6E-409C-BE32-E72D297353CC}">
              <c16:uniqueId val="{00000001-25EB-46C6-BD4C-0D36167515FD}"/>
            </c:ext>
          </c:extLst>
        </c:ser>
        <c:dLbls>
          <c:dLblPos val="t"/>
          <c:showLegendKey val="0"/>
          <c:showVal val="1"/>
          <c:showCatName val="0"/>
          <c:showSerName val="0"/>
          <c:showPercent val="0"/>
          <c:showBubbleSize val="0"/>
        </c:dLbls>
        <c:smooth val="0"/>
        <c:axId val="1346027375"/>
        <c:axId val="1165906943"/>
      </c:lineChart>
      <c:catAx>
        <c:axId val="13460273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65906943"/>
        <c:crosses val="autoZero"/>
        <c:auto val="1"/>
        <c:lblAlgn val="ctr"/>
        <c:lblOffset val="100"/>
        <c:noMultiLvlLbl val="0"/>
      </c:catAx>
      <c:valAx>
        <c:axId val="1165906943"/>
        <c:scaling>
          <c:orientation val="minMax"/>
        </c:scaling>
        <c:delete val="1"/>
        <c:axPos val="l"/>
        <c:numFmt formatCode="0.0%" sourceLinked="1"/>
        <c:majorTickMark val="none"/>
        <c:minorTickMark val="none"/>
        <c:tickLblPos val="nextTo"/>
        <c:crossAx val="13460273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7496562929634E-2"/>
          <c:y val="5.2754982415005862E-2"/>
          <c:w val="0.88488376452943385"/>
          <c:h val="0.86231918841328892"/>
        </c:manualLayout>
      </c:layout>
      <c:lineChart>
        <c:grouping val="standard"/>
        <c:varyColors val="0"/>
        <c:ser>
          <c:idx val="0"/>
          <c:order val="0"/>
          <c:tx>
            <c:strRef>
              <c:f>Sheet2!$L$4</c:f>
              <c:strCache>
                <c:ptCount val="1"/>
                <c:pt idx="0">
                  <c:v>პოზიტიური</c:v>
                </c:pt>
              </c:strCache>
            </c:strRef>
          </c:tx>
          <c:spPr>
            <a:ln w="19050" cap="rnd">
              <a:solidFill>
                <a:srgbClr val="33CCCC"/>
              </a:solidFill>
              <a:round/>
            </a:ln>
            <a:effectLst/>
          </c:spPr>
          <c:marker>
            <c:symbol val="none"/>
          </c:marker>
          <c:dLbls>
            <c:dLbl>
              <c:idx val="1"/>
              <c:layout>
                <c:manualLayout>
                  <c:x val="-7.7976190476190477E-2"/>
                  <c:y val="4.7581947918878251E-2"/>
                </c:manualLayout>
              </c:layout>
              <c:tx>
                <c:rich>
                  <a:bodyPr/>
                  <a:lstStyle/>
                  <a:p>
                    <a:r>
                      <a:rPr lang="en-US"/>
                      <a:t>-4.2%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AA-496A-9B43-1AE52351760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Sheet2!$H$5:$H$11</c:f>
              <c:numCache>
                <c:formatCode>General</c:formatCode>
                <c:ptCount val="7"/>
                <c:pt idx="0">
                  <c:v>2019</c:v>
                </c:pt>
                <c:pt idx="1">
                  <c:v>2020</c:v>
                </c:pt>
                <c:pt idx="2">
                  <c:v>2021</c:v>
                </c:pt>
                <c:pt idx="3">
                  <c:v>2022</c:v>
                </c:pt>
                <c:pt idx="4">
                  <c:v>2023</c:v>
                </c:pt>
                <c:pt idx="5">
                  <c:v>2024</c:v>
                </c:pt>
                <c:pt idx="6">
                  <c:v>2025</c:v>
                </c:pt>
              </c:numCache>
            </c:numRef>
          </c:cat>
          <c:val>
            <c:numRef>
              <c:f>Sheet2!$L$5:$L$11</c:f>
              <c:numCache>
                <c:formatCode>0.0%</c:formatCode>
                <c:ptCount val="7"/>
                <c:pt idx="0">
                  <c:v>5.0999999999999997E-2</c:v>
                </c:pt>
                <c:pt idx="1">
                  <c:v>-4.7E-2</c:v>
                </c:pt>
                <c:pt idx="2">
                  <c:v>7.2999999999999995E-2</c:v>
                </c:pt>
                <c:pt idx="3">
                  <c:v>7.2000000000000008E-2</c:v>
                </c:pt>
                <c:pt idx="4">
                  <c:v>0.06</c:v>
                </c:pt>
                <c:pt idx="5">
                  <c:v>5.0999999999999997E-2</c:v>
                </c:pt>
                <c:pt idx="6">
                  <c:v>5.2000000000000005E-2</c:v>
                </c:pt>
              </c:numCache>
            </c:numRef>
          </c:val>
          <c:smooth val="0"/>
          <c:extLst>
            <c:ext xmlns:c16="http://schemas.microsoft.com/office/drawing/2014/chart" uri="{C3380CC4-5D6E-409C-BE32-E72D297353CC}">
              <c16:uniqueId val="{00000001-5DAA-496A-9B43-1AE52351760B}"/>
            </c:ext>
          </c:extLst>
        </c:ser>
        <c:dLbls>
          <c:showLegendKey val="0"/>
          <c:showVal val="0"/>
          <c:showCatName val="0"/>
          <c:showSerName val="0"/>
          <c:showPercent val="0"/>
          <c:showBubbleSize val="0"/>
        </c:dLbls>
        <c:smooth val="0"/>
        <c:axId val="1168524415"/>
        <c:axId val="1086881263"/>
      </c:lineChart>
      <c:catAx>
        <c:axId val="11685244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86881263"/>
        <c:crosses val="autoZero"/>
        <c:auto val="1"/>
        <c:lblAlgn val="ctr"/>
        <c:lblOffset val="100"/>
        <c:noMultiLvlLbl val="0"/>
      </c:catAx>
      <c:valAx>
        <c:axId val="1086881263"/>
        <c:scaling>
          <c:orientation val="minMax"/>
        </c:scaling>
        <c:delete val="1"/>
        <c:axPos val="l"/>
        <c:numFmt formatCode="0.0%" sourceLinked="1"/>
        <c:majorTickMark val="none"/>
        <c:minorTickMark val="none"/>
        <c:tickLblPos val="nextTo"/>
        <c:crossAx val="116852441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076240469941259E-2"/>
          <c:y val="2.6660742057320594E-2"/>
          <c:w val="0.86920947381577307"/>
          <c:h val="0.89192183014448234"/>
        </c:manualLayout>
      </c:layout>
      <c:lineChart>
        <c:grouping val="standard"/>
        <c:varyColors val="0"/>
        <c:ser>
          <c:idx val="0"/>
          <c:order val="0"/>
          <c:tx>
            <c:strRef>
              <c:f>Sheet2!$Q$4</c:f>
              <c:strCache>
                <c:ptCount val="1"/>
                <c:pt idx="0">
                  <c:v>ნულოვანი</c:v>
                </c:pt>
              </c:strCache>
            </c:strRef>
          </c:tx>
          <c:spPr>
            <a:ln w="19050" cap="rnd">
              <a:solidFill>
                <a:sysClr val="window" lastClr="FFFFFF">
                  <a:lumMod val="65000"/>
                </a:sysClr>
              </a:solidFill>
              <a:prstDash val="dash"/>
              <a:round/>
            </a:ln>
            <a:effectLst/>
          </c:spPr>
          <c:marker>
            <c:symbol val="none"/>
          </c:marker>
          <c:cat>
            <c:numRef>
              <c:f>Sheet2!$P$5:$P$11</c:f>
              <c:numCache>
                <c:formatCode>General</c:formatCode>
                <c:ptCount val="7"/>
                <c:pt idx="0">
                  <c:v>2019</c:v>
                </c:pt>
                <c:pt idx="1">
                  <c:v>2020</c:v>
                </c:pt>
                <c:pt idx="2">
                  <c:v>2021</c:v>
                </c:pt>
                <c:pt idx="3">
                  <c:v>2022</c:v>
                </c:pt>
                <c:pt idx="4">
                  <c:v>2023</c:v>
                </c:pt>
                <c:pt idx="5">
                  <c:v>2024</c:v>
                </c:pt>
                <c:pt idx="6">
                  <c:v>2025</c:v>
                </c:pt>
              </c:numCache>
            </c:numRef>
          </c:cat>
          <c:val>
            <c:numRef>
              <c:f>Sheet2!$Q$5:$Q$11</c:f>
              <c:numCache>
                <c:formatCode>#,##0.0</c:formatCode>
                <c:ptCount val="7"/>
                <c:pt idx="0">
                  <c:v>76.789573827816653</c:v>
                </c:pt>
                <c:pt idx="1">
                  <c:v>80.245104650068399</c:v>
                </c:pt>
                <c:pt idx="2">
                  <c:v>83.856134359321473</c:v>
                </c:pt>
                <c:pt idx="3">
                  <c:v>87.629660405490938</c:v>
                </c:pt>
                <c:pt idx="4">
                  <c:v>91.572995123738025</c:v>
                </c:pt>
                <c:pt idx="5">
                  <c:v>95.693779904306226</c:v>
                </c:pt>
                <c:pt idx="6">
                  <c:v>100</c:v>
                </c:pt>
              </c:numCache>
            </c:numRef>
          </c:val>
          <c:smooth val="0"/>
          <c:extLst>
            <c:ext xmlns:c16="http://schemas.microsoft.com/office/drawing/2014/chart" uri="{C3380CC4-5D6E-409C-BE32-E72D297353CC}">
              <c16:uniqueId val="{00000000-4231-4F7D-BA1A-CC691B76D714}"/>
            </c:ext>
          </c:extLst>
        </c:ser>
        <c:dLbls>
          <c:showLegendKey val="0"/>
          <c:showVal val="0"/>
          <c:showCatName val="0"/>
          <c:showSerName val="0"/>
          <c:showPercent val="0"/>
          <c:showBubbleSize val="0"/>
        </c:dLbls>
        <c:marker val="1"/>
        <c:smooth val="0"/>
        <c:axId val="948633440"/>
        <c:axId val="948640512"/>
      </c:lineChart>
      <c:lineChart>
        <c:grouping val="standard"/>
        <c:varyColors val="0"/>
        <c:ser>
          <c:idx val="1"/>
          <c:order val="1"/>
          <c:tx>
            <c:strRef>
              <c:f>Sheet2!$R$4</c:f>
              <c:strCache>
                <c:ptCount val="1"/>
                <c:pt idx="0">
                  <c:v>საბაზისო</c:v>
                </c:pt>
              </c:strCache>
            </c:strRef>
          </c:tx>
          <c:spPr>
            <a:ln w="19050" cap="rnd">
              <a:solidFill>
                <a:srgbClr val="4472C4"/>
              </a:solidFill>
              <a:round/>
            </a:ln>
            <a:effectLst/>
          </c:spPr>
          <c:marker>
            <c:symbol val="none"/>
          </c:marker>
          <c:dLbls>
            <c:dLbl>
              <c:idx val="6"/>
              <c:tx>
                <c:rich>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r>
                      <a:rPr lang="en-US"/>
                      <a:t>-6.0</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31-4F7D-BA1A-CC691B76D7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Sheet2!$P$5:$P$11</c:f>
              <c:numCache>
                <c:formatCode>General</c:formatCode>
                <c:ptCount val="7"/>
                <c:pt idx="0">
                  <c:v>2019</c:v>
                </c:pt>
                <c:pt idx="1">
                  <c:v>2020</c:v>
                </c:pt>
                <c:pt idx="2">
                  <c:v>2021</c:v>
                </c:pt>
                <c:pt idx="3">
                  <c:v>2022</c:v>
                </c:pt>
                <c:pt idx="4">
                  <c:v>2023</c:v>
                </c:pt>
                <c:pt idx="5">
                  <c:v>2024</c:v>
                </c:pt>
                <c:pt idx="6">
                  <c:v>2025</c:v>
                </c:pt>
              </c:numCache>
            </c:numRef>
          </c:cat>
          <c:val>
            <c:numRef>
              <c:f>Sheet2!$R$5:$R$11</c:f>
              <c:numCache>
                <c:formatCode>#,##0.0</c:formatCode>
                <c:ptCount val="7"/>
                <c:pt idx="0">
                  <c:v>-23.210426172183347</c:v>
                </c:pt>
                <c:pt idx="1">
                  <c:v>-27.280273585057628</c:v>
                </c:pt>
                <c:pt idx="2">
                  <c:v>-23.644287264310506</c:v>
                </c:pt>
                <c:pt idx="3">
                  <c:v>-19.902857340261733</c:v>
                </c:pt>
                <c:pt idx="4">
                  <c:v>-16.058194492594296</c:v>
                </c:pt>
                <c:pt idx="5">
                  <c:v>-11.52533699519438</c:v>
                </c:pt>
                <c:pt idx="6">
                  <c:v>-6.3938065409156479</c:v>
                </c:pt>
              </c:numCache>
            </c:numRef>
          </c:val>
          <c:smooth val="0"/>
          <c:extLst>
            <c:ext xmlns:c16="http://schemas.microsoft.com/office/drawing/2014/chart" uri="{C3380CC4-5D6E-409C-BE32-E72D297353CC}">
              <c16:uniqueId val="{00000002-4231-4F7D-BA1A-CC691B76D714}"/>
            </c:ext>
          </c:extLst>
        </c:ser>
        <c:ser>
          <c:idx val="2"/>
          <c:order val="2"/>
          <c:tx>
            <c:strRef>
              <c:f>Sheet2!$S$4</c:f>
              <c:strCache>
                <c:ptCount val="1"/>
                <c:pt idx="0">
                  <c:v>ნეგატიური</c:v>
                </c:pt>
              </c:strCache>
            </c:strRef>
          </c:tx>
          <c:spPr>
            <a:ln w="19050" cap="rnd">
              <a:solidFill>
                <a:srgbClr val="FF5050"/>
              </a:solidFill>
              <a:round/>
            </a:ln>
            <a:effectLst/>
          </c:spPr>
          <c:marker>
            <c:symbol val="none"/>
          </c:marker>
          <c:dLbls>
            <c:dLbl>
              <c:idx val="6"/>
              <c:layout>
                <c:manualLayout>
                  <c:x val="0"/>
                  <c:y val="3.110419906687403E-2"/>
                </c:manualLayout>
              </c:layout>
              <c:tx>
                <c:rich>
                  <a:bodyPr/>
                  <a:lstStyle/>
                  <a:p>
                    <a:r>
                      <a:rPr lang="en-US"/>
                      <a:t>-12.3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31-4F7D-BA1A-CC691B76D71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Sheet2!$P$5:$P$11</c:f>
              <c:numCache>
                <c:formatCode>General</c:formatCode>
                <c:ptCount val="7"/>
                <c:pt idx="0">
                  <c:v>2019</c:v>
                </c:pt>
                <c:pt idx="1">
                  <c:v>2020</c:v>
                </c:pt>
                <c:pt idx="2">
                  <c:v>2021</c:v>
                </c:pt>
                <c:pt idx="3">
                  <c:v>2022</c:v>
                </c:pt>
                <c:pt idx="4">
                  <c:v>2023</c:v>
                </c:pt>
                <c:pt idx="5">
                  <c:v>2024</c:v>
                </c:pt>
                <c:pt idx="6">
                  <c:v>2025</c:v>
                </c:pt>
              </c:numCache>
            </c:numRef>
          </c:cat>
          <c:val>
            <c:numRef>
              <c:f>Sheet2!$S$5:$S$11</c:f>
              <c:numCache>
                <c:formatCode>#,##0.0</c:formatCode>
                <c:ptCount val="7"/>
                <c:pt idx="0">
                  <c:v>-23.210426172183347</c:v>
                </c:pt>
                <c:pt idx="1">
                  <c:v>-27.817800601852355</c:v>
                </c:pt>
                <c:pt idx="2">
                  <c:v>-26.374156613889397</c:v>
                </c:pt>
                <c:pt idx="3">
                  <c:v>-24.901639746167177</c:v>
                </c:pt>
                <c:pt idx="4">
                  <c:v>-22.4233938577907</c:v>
                </c:pt>
                <c:pt idx="5">
                  <c:v>-18.001527307684768</c:v>
                </c:pt>
                <c:pt idx="6">
                  <c:v>-12.589628109991963</c:v>
                </c:pt>
              </c:numCache>
            </c:numRef>
          </c:val>
          <c:smooth val="0"/>
          <c:extLst>
            <c:ext xmlns:c16="http://schemas.microsoft.com/office/drawing/2014/chart" uri="{C3380CC4-5D6E-409C-BE32-E72D297353CC}">
              <c16:uniqueId val="{00000004-4231-4F7D-BA1A-CC691B76D714}"/>
            </c:ext>
          </c:extLst>
        </c:ser>
        <c:ser>
          <c:idx val="3"/>
          <c:order val="3"/>
          <c:tx>
            <c:strRef>
              <c:f>Sheet2!$T$4</c:f>
              <c:strCache>
                <c:ptCount val="1"/>
                <c:pt idx="0">
                  <c:v>პოზიტიური</c:v>
                </c:pt>
              </c:strCache>
            </c:strRef>
          </c:tx>
          <c:spPr>
            <a:ln w="19050" cap="rnd">
              <a:solidFill>
                <a:srgbClr val="33CCCC"/>
              </a:solidFill>
              <a:round/>
            </a:ln>
            <a:effectLst/>
          </c:spPr>
          <c:marker>
            <c:symbol val="none"/>
          </c:marker>
          <c:dLbls>
            <c:dLbl>
              <c:idx val="6"/>
              <c:tx>
                <c:rich>
                  <a:bodyPr/>
                  <a:lstStyle/>
                  <a:p>
                    <a:r>
                      <a:rPr lang="en-US"/>
                      <a:t>-0.8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31-4F7D-BA1A-CC691B76D71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Sheet2!$P$5:$P$11</c:f>
              <c:numCache>
                <c:formatCode>General</c:formatCode>
                <c:ptCount val="7"/>
                <c:pt idx="0">
                  <c:v>2019</c:v>
                </c:pt>
                <c:pt idx="1">
                  <c:v>2020</c:v>
                </c:pt>
                <c:pt idx="2">
                  <c:v>2021</c:v>
                </c:pt>
                <c:pt idx="3">
                  <c:v>2022</c:v>
                </c:pt>
                <c:pt idx="4">
                  <c:v>2023</c:v>
                </c:pt>
                <c:pt idx="5">
                  <c:v>2024</c:v>
                </c:pt>
                <c:pt idx="6">
                  <c:v>2025</c:v>
                </c:pt>
              </c:numCache>
            </c:numRef>
          </c:cat>
          <c:val>
            <c:numRef>
              <c:f>Sheet2!$T$5:$T$11</c:f>
              <c:numCache>
                <c:formatCode>#,##0.0</c:formatCode>
                <c:ptCount val="7"/>
                <c:pt idx="0">
                  <c:v>-23.210426172183347</c:v>
                </c:pt>
                <c:pt idx="1">
                  <c:v>-26.819536142090726</c:v>
                </c:pt>
                <c:pt idx="2">
                  <c:v>-21.477362280463353</c:v>
                </c:pt>
                <c:pt idx="3">
                  <c:v>-15.823732364656706</c:v>
                </c:pt>
                <c:pt idx="4">
                  <c:v>-10.773156306536109</c:v>
                </c:pt>
                <c:pt idx="5">
                  <c:v>-6.2225872781694562</c:v>
                </c:pt>
                <c:pt idx="6">
                  <c:v>-1.3461618166342646</c:v>
                </c:pt>
              </c:numCache>
            </c:numRef>
          </c:val>
          <c:smooth val="0"/>
          <c:extLst>
            <c:ext xmlns:c16="http://schemas.microsoft.com/office/drawing/2014/chart" uri="{C3380CC4-5D6E-409C-BE32-E72D297353CC}">
              <c16:uniqueId val="{00000006-4231-4F7D-BA1A-CC691B76D714}"/>
            </c:ext>
          </c:extLst>
        </c:ser>
        <c:dLbls>
          <c:showLegendKey val="0"/>
          <c:showVal val="0"/>
          <c:showCatName val="0"/>
          <c:showSerName val="0"/>
          <c:showPercent val="0"/>
          <c:showBubbleSize val="0"/>
        </c:dLbls>
        <c:marker val="1"/>
        <c:smooth val="0"/>
        <c:axId val="1453084768"/>
        <c:axId val="1453078528"/>
      </c:lineChart>
      <c:catAx>
        <c:axId val="94863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8640512"/>
        <c:crosses val="autoZero"/>
        <c:auto val="1"/>
        <c:lblAlgn val="ctr"/>
        <c:lblOffset val="100"/>
        <c:noMultiLvlLbl val="0"/>
      </c:catAx>
      <c:valAx>
        <c:axId val="948640512"/>
        <c:scaling>
          <c:orientation val="minMax"/>
          <c:max val="100"/>
          <c:min val="70"/>
        </c:scaling>
        <c:delete val="0"/>
        <c:axPos val="l"/>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8633440"/>
        <c:crosses val="autoZero"/>
        <c:crossBetween val="between"/>
      </c:valAx>
      <c:valAx>
        <c:axId val="1453078528"/>
        <c:scaling>
          <c:orientation val="minMax"/>
          <c:min val="-30"/>
        </c:scaling>
        <c:delete val="0"/>
        <c:axPos val="l"/>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084768"/>
        <c:crosses val="autoZero"/>
        <c:crossBetween val="between"/>
      </c:valAx>
      <c:catAx>
        <c:axId val="1453084768"/>
        <c:scaling>
          <c:orientation val="minMax"/>
        </c:scaling>
        <c:delete val="1"/>
        <c:axPos val="b"/>
        <c:numFmt formatCode="General" sourceLinked="1"/>
        <c:majorTickMark val="out"/>
        <c:minorTickMark val="none"/>
        <c:tickLblPos val="nextTo"/>
        <c:crossAx val="1453078528"/>
        <c:crosses val="autoZero"/>
        <c:auto val="1"/>
        <c:lblAlgn val="ctr"/>
        <c:lblOffset val="100"/>
        <c:noMultiLvlLbl val="0"/>
      </c:catAx>
      <c:spPr>
        <a:noFill/>
        <a:ln>
          <a:noFill/>
        </a:ln>
        <a:effectLst/>
      </c:spPr>
    </c:plotArea>
    <c:legend>
      <c:legendPos val="b"/>
      <c:layout>
        <c:manualLayout>
          <c:xMode val="edge"/>
          <c:yMode val="edge"/>
          <c:x val="0.12466254218222722"/>
          <c:y val="4.3544829058109573E-2"/>
          <c:w val="0.35384951881014876"/>
          <c:h val="0.236615135394234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759961127308066E-2"/>
          <c:y val="5.7971014492753624E-2"/>
          <c:w val="0.91448007774538387"/>
          <c:h val="0.63009969603601923"/>
        </c:manualLayout>
      </c:layout>
      <c:barChart>
        <c:barDir val="col"/>
        <c:grouping val="clustered"/>
        <c:varyColors val="0"/>
        <c:ser>
          <c:idx val="0"/>
          <c:order val="0"/>
          <c:tx>
            <c:strRef>
              <c:f>Sheet1!$H$3</c:f>
              <c:strCache>
                <c:ptCount val="1"/>
                <c:pt idx="0">
                  <c:v>წლიური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Sheet1!$H$4:$H$11</c:f>
              <c:numCache>
                <c:formatCode>#,##0.0</c:formatCode>
                <c:ptCount val="8"/>
                <c:pt idx="0">
                  <c:v>6.3830418424982298</c:v>
                </c:pt>
                <c:pt idx="1">
                  <c:v>6.4445797138326384</c:v>
                </c:pt>
                <c:pt idx="2">
                  <c:v>6.0800229534029455</c:v>
                </c:pt>
                <c:pt idx="3">
                  <c:v>6.8627735477044922</c:v>
                </c:pt>
                <c:pt idx="4">
                  <c:v>6.5365840770208337</c:v>
                </c:pt>
                <c:pt idx="5">
                  <c:v>6.1302083434200938</c:v>
                </c:pt>
                <c:pt idx="6">
                  <c:v>5.6513368832026885</c:v>
                </c:pt>
                <c:pt idx="7">
                  <c:v>4.7900000000000063</c:v>
                </c:pt>
              </c:numCache>
            </c:numRef>
          </c:val>
          <c:extLst>
            <c:ext xmlns:c16="http://schemas.microsoft.com/office/drawing/2014/chart" uri="{C3380CC4-5D6E-409C-BE32-E72D297353CC}">
              <c16:uniqueId val="{00000000-0673-421E-8395-B46FD67A877B}"/>
            </c:ext>
          </c:extLst>
        </c:ser>
        <c:ser>
          <c:idx val="1"/>
          <c:order val="1"/>
          <c:tx>
            <c:strRef>
              <c:f>Sheet1!$I$3</c:f>
              <c:strCache>
                <c:ptCount val="1"/>
                <c:pt idx="0">
                  <c:v>თვე-თვესთან, ანუალიზებული</c:v>
                </c:pt>
              </c:strCache>
            </c:strRef>
          </c:tx>
          <c:spPr>
            <a:solidFill>
              <a:schemeClr val="accent2"/>
            </a:solidFill>
            <a:ln>
              <a:noFill/>
            </a:ln>
            <a:effectLst/>
          </c:spPr>
          <c:invertIfNegative val="0"/>
          <c:cat>
            <c:strRef>
              <c:f>Sheet1!$G$4:$G$11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Sheet1!$I$4:$I$11</c:f>
              <c:numCache>
                <c:formatCode>#,##0.0</c:formatCode>
                <c:ptCount val="8"/>
                <c:pt idx="0">
                  <c:v>0.23307505867235534</c:v>
                </c:pt>
                <c:pt idx="1">
                  <c:v>4.914006870982206</c:v>
                </c:pt>
                <c:pt idx="2">
                  <c:v>8.0613983534998113</c:v>
                </c:pt>
                <c:pt idx="3">
                  <c:v>14.49102784255885</c:v>
                </c:pt>
                <c:pt idx="4">
                  <c:v>5.2836522111639539</c:v>
                </c:pt>
                <c:pt idx="5">
                  <c:v>-1.1484241430609785</c:v>
                </c:pt>
                <c:pt idx="6">
                  <c:v>2.1809641147995507</c:v>
                </c:pt>
                <c:pt idx="7">
                  <c:v>-3.4852097971724163</c:v>
                </c:pt>
              </c:numCache>
            </c:numRef>
          </c:val>
          <c:extLst>
            <c:ext xmlns:c16="http://schemas.microsoft.com/office/drawing/2014/chart" uri="{C3380CC4-5D6E-409C-BE32-E72D297353CC}">
              <c16:uniqueId val="{00000001-0673-421E-8395-B46FD67A877B}"/>
            </c:ext>
          </c:extLst>
        </c:ser>
        <c:dLbls>
          <c:showLegendKey val="0"/>
          <c:showVal val="0"/>
          <c:showCatName val="0"/>
          <c:showSerName val="0"/>
          <c:showPercent val="0"/>
          <c:showBubbleSize val="0"/>
        </c:dLbls>
        <c:gapWidth val="150"/>
        <c:axId val="946563648"/>
        <c:axId val="946565312"/>
      </c:barChart>
      <c:lineChart>
        <c:grouping val="standard"/>
        <c:varyColors val="0"/>
        <c:ser>
          <c:idx val="2"/>
          <c:order val="2"/>
          <c:tx>
            <c:strRef>
              <c:f>Sheet1!$J$3</c:f>
              <c:strCache>
                <c:ptCount val="1"/>
                <c:pt idx="0">
                  <c:v>მიზნობრვი</c:v>
                </c:pt>
              </c:strCache>
            </c:strRef>
          </c:tx>
          <c:spPr>
            <a:ln w="28575" cap="rnd">
              <a:solidFill>
                <a:schemeClr val="accent3"/>
              </a:solidFill>
              <a:round/>
            </a:ln>
            <a:effectLst/>
          </c:spPr>
          <c:marker>
            <c:symbol val="none"/>
          </c:marker>
          <c:cat>
            <c:strRef>
              <c:f>Sheet1!$G$4:$G$11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Sheet1!$J$4:$J$11</c:f>
              <c:numCache>
                <c:formatCode>#,##0.0</c:formatCode>
                <c:ptCount val="8"/>
                <c:pt idx="0">
                  <c:v>3</c:v>
                </c:pt>
                <c:pt idx="1">
                  <c:v>3</c:v>
                </c:pt>
                <c:pt idx="2">
                  <c:v>3</c:v>
                </c:pt>
                <c:pt idx="3">
                  <c:v>3</c:v>
                </c:pt>
                <c:pt idx="4">
                  <c:v>3</c:v>
                </c:pt>
                <c:pt idx="5">
                  <c:v>3</c:v>
                </c:pt>
                <c:pt idx="6">
                  <c:v>3</c:v>
                </c:pt>
                <c:pt idx="7">
                  <c:v>3</c:v>
                </c:pt>
              </c:numCache>
            </c:numRef>
          </c:val>
          <c:smooth val="0"/>
          <c:extLst>
            <c:ext xmlns:c16="http://schemas.microsoft.com/office/drawing/2014/chart" uri="{C3380CC4-5D6E-409C-BE32-E72D297353CC}">
              <c16:uniqueId val="{00000002-0673-421E-8395-B46FD67A877B}"/>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scaling>
        <c:delete val="1"/>
        <c:axPos val="l"/>
        <c:numFmt formatCode="#,##0.0" sourceLinked="1"/>
        <c:majorTickMark val="none"/>
        <c:minorTickMark val="none"/>
        <c:tickLblPos val="nextTo"/>
        <c:crossAx val="946563648"/>
        <c:crosses val="autoZero"/>
        <c:crossBetween val="between"/>
      </c:valAx>
      <c:spPr>
        <a:noFill/>
        <a:ln>
          <a:noFill/>
        </a:ln>
        <a:effectLst/>
      </c:spPr>
    </c:plotArea>
    <c:legend>
      <c:legendPos val="b"/>
      <c:layout>
        <c:manualLayout>
          <c:xMode val="edge"/>
          <c:yMode val="edge"/>
          <c:x val="1.6793002915451896E-2"/>
          <c:y val="0.7990758665048292"/>
          <c:w val="0.98196307094266277"/>
          <c:h val="0.169303580135487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Sheet1!$M$54</c:f>
              <c:strCache>
                <c:ptCount val="1"/>
                <c:pt idx="0">
                  <c:v>წინა წლის შესაბამის თვესთან</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Sheet1!$L$55:$L$67</c:f>
              <c:strCache>
                <c:ptCount val="9"/>
                <c:pt idx="0">
                  <c:v>იან</c:v>
                </c:pt>
                <c:pt idx="1">
                  <c:v>თებ</c:v>
                </c:pt>
                <c:pt idx="2">
                  <c:v>მარ</c:v>
                </c:pt>
                <c:pt idx="3">
                  <c:v>აპრ</c:v>
                </c:pt>
                <c:pt idx="4">
                  <c:v>მაი</c:v>
                </c:pt>
                <c:pt idx="5">
                  <c:v>ივნ</c:v>
                </c:pt>
                <c:pt idx="6">
                  <c:v>ივლ</c:v>
                </c:pt>
                <c:pt idx="7">
                  <c:v>აგვ</c:v>
                </c:pt>
                <c:pt idx="8">
                  <c:v>წლიური</c:v>
                </c:pt>
              </c:strCache>
            </c:strRef>
          </c:cat>
          <c:val>
            <c:numRef>
              <c:f>Sheet1!$M$55:$M$67</c:f>
              <c:numCache>
                <c:formatCode>#,##0.0</c:formatCode>
                <c:ptCount val="9"/>
                <c:pt idx="0">
                  <c:v>5.7</c:v>
                </c:pt>
                <c:pt idx="1">
                  <c:v>2.8</c:v>
                </c:pt>
                <c:pt idx="2">
                  <c:v>-2</c:v>
                </c:pt>
                <c:pt idx="3">
                  <c:v>-16.5</c:v>
                </c:pt>
                <c:pt idx="4">
                  <c:v>-13.5</c:v>
                </c:pt>
                <c:pt idx="5">
                  <c:v>-7.7</c:v>
                </c:pt>
                <c:pt idx="6">
                  <c:v>-5.5</c:v>
                </c:pt>
                <c:pt idx="7">
                  <c:v>-5.3</c:v>
                </c:pt>
              </c:numCache>
            </c:numRef>
          </c:val>
          <c:extLst>
            <c:ext xmlns:c16="http://schemas.microsoft.com/office/drawing/2014/chart" uri="{C3380CC4-5D6E-409C-BE32-E72D297353CC}">
              <c16:uniqueId val="{00000000-3CA7-4BDF-B696-8100B399D09C}"/>
            </c:ext>
          </c:extLst>
        </c:ser>
        <c:ser>
          <c:idx val="2"/>
          <c:order val="1"/>
          <c:tx>
            <c:strRef>
              <c:f>Sheet1!$O$54</c:f>
              <c:strCache>
                <c:ptCount val="1"/>
                <c:pt idx="0">
                  <c:v>წლიური</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Sheet1!$L$55:$L$67</c:f>
              <c:strCache>
                <c:ptCount val="9"/>
                <c:pt idx="0">
                  <c:v>იან</c:v>
                </c:pt>
                <c:pt idx="1">
                  <c:v>თებ</c:v>
                </c:pt>
                <c:pt idx="2">
                  <c:v>მარ</c:v>
                </c:pt>
                <c:pt idx="3">
                  <c:v>აპრ</c:v>
                </c:pt>
                <c:pt idx="4">
                  <c:v>მაი</c:v>
                </c:pt>
                <c:pt idx="5">
                  <c:v>ივნ</c:v>
                </c:pt>
                <c:pt idx="6">
                  <c:v>ივლ</c:v>
                </c:pt>
                <c:pt idx="7">
                  <c:v>აგვ</c:v>
                </c:pt>
                <c:pt idx="8">
                  <c:v>წლიური</c:v>
                </c:pt>
              </c:strCache>
            </c:strRef>
          </c:cat>
          <c:val>
            <c:numRef>
              <c:f>Sheet1!$O$55:$O$67</c:f>
              <c:numCache>
                <c:formatCode>General</c:formatCode>
                <c:ptCount val="9"/>
                <c:pt idx="8" formatCode="#,##0.0">
                  <c:v>-4.9000000000000004</c:v>
                </c:pt>
              </c:numCache>
            </c:numRef>
          </c:val>
          <c:extLst>
            <c:ext xmlns:c16="http://schemas.microsoft.com/office/drawing/2014/chart" uri="{C3380CC4-5D6E-409C-BE32-E72D297353CC}">
              <c16:uniqueId val="{00000001-3CA7-4BDF-B696-8100B399D09C}"/>
            </c:ext>
          </c:extLst>
        </c:ser>
        <c:dLbls>
          <c:showLegendKey val="0"/>
          <c:showVal val="0"/>
          <c:showCatName val="0"/>
          <c:showSerName val="0"/>
          <c:showPercent val="0"/>
          <c:showBubbleSize val="0"/>
        </c:dLbls>
        <c:gapWidth val="0"/>
        <c:axId val="2052563568"/>
        <c:axId val="2052572720"/>
      </c:barChart>
      <c:catAx>
        <c:axId val="2052563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2572720"/>
        <c:crosses val="autoZero"/>
        <c:auto val="1"/>
        <c:lblAlgn val="ctr"/>
        <c:lblOffset val="100"/>
        <c:noMultiLvlLbl val="0"/>
      </c:catAx>
      <c:valAx>
        <c:axId val="205257272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052563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'[New Microsoft Excel Worksheet (2).xlsx]Sheet1'!$E$1</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'[New Microsoft Excel Worksheet (2).xlsx]Sheet1'!$E$2:$E$12</c:f>
              <c:numCache>
                <c:formatCode>General</c:formatCode>
                <c:ptCount val="11"/>
                <c:pt idx="10" formatCode="0.0%">
                  <c:v>9.1999999999999998E-2</c:v>
                </c:pt>
              </c:numCache>
            </c:numRef>
          </c:val>
          <c:extLst>
            <c:ext xmlns:c16="http://schemas.microsoft.com/office/drawing/2014/chart" uri="{C3380CC4-5D6E-409C-BE32-E72D297353CC}">
              <c16:uniqueId val="{00000000-0516-4562-B672-8134A25BA3AD}"/>
            </c:ext>
          </c:extLst>
        </c:ser>
        <c:dLbls>
          <c:showLegendKey val="0"/>
          <c:showVal val="1"/>
          <c:showCatName val="0"/>
          <c:showSerName val="0"/>
          <c:showPercent val="0"/>
          <c:showBubbleSize val="0"/>
        </c:dLbls>
        <c:gapWidth val="50"/>
        <c:axId val="298812911"/>
        <c:axId val="226875679"/>
      </c:barChart>
      <c:lineChart>
        <c:grouping val="standard"/>
        <c:varyColors val="0"/>
        <c:ser>
          <c:idx val="0"/>
          <c:order val="0"/>
          <c:tx>
            <c:strRef>
              <c:f>'[New Microsoft Excel Worksheet (2).xlsx]Sheet1'!$D$1</c:f>
              <c:strCache>
                <c:ptCount val="1"/>
                <c:pt idx="0">
                  <c:v>ფაქტობრივი</c:v>
                </c:pt>
              </c:strCache>
            </c:strRef>
          </c:tx>
          <c:spPr>
            <a:ln w="28575" cap="rnd">
              <a:solidFill>
                <a:srgbClr val="009999"/>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'[New Microsoft Excel Worksheet (2).xlsx]Sheet1'!$D$2:$D$12</c:f>
              <c:numCache>
                <c:formatCode>0.0%</c:formatCode>
                <c:ptCount val="11"/>
                <c:pt idx="0">
                  <c:v>9.8000000000000004E-2</c:v>
                </c:pt>
                <c:pt idx="1">
                  <c:v>0.122</c:v>
                </c:pt>
                <c:pt idx="2">
                  <c:v>0.114</c:v>
                </c:pt>
                <c:pt idx="3">
                  <c:v>5.6000000000000001E-2</c:v>
                </c:pt>
                <c:pt idx="4">
                  <c:v>0.10199999999999999</c:v>
                </c:pt>
                <c:pt idx="5">
                  <c:v>0.11799999999999999</c:v>
                </c:pt>
                <c:pt idx="6">
                  <c:v>0.124</c:v>
                </c:pt>
                <c:pt idx="7">
                  <c:v>8.1000000000000003E-2</c:v>
                </c:pt>
                <c:pt idx="8">
                  <c:v>6.8000000000000005E-2</c:v>
                </c:pt>
                <c:pt idx="9">
                  <c:v>0.05</c:v>
                </c:pt>
              </c:numCache>
            </c:numRef>
          </c:val>
          <c:smooth val="0"/>
          <c:extLst>
            <c:ext xmlns:c16="http://schemas.microsoft.com/office/drawing/2014/chart" uri="{C3380CC4-5D6E-409C-BE32-E72D297353CC}">
              <c16:uniqueId val="{00000001-0516-4562-B672-8134A25BA3AD}"/>
            </c:ext>
          </c:extLst>
        </c:ser>
        <c:dLbls>
          <c:showLegendKey val="0"/>
          <c:showVal val="1"/>
          <c:showCatName val="0"/>
          <c:showSerName val="0"/>
          <c:showPercent val="0"/>
          <c:showBubbleSize val="0"/>
        </c:dLbls>
        <c:marker val="1"/>
        <c:smooth val="0"/>
        <c:axId val="298812911"/>
        <c:axId val="226875679"/>
      </c:lineChart>
      <c:catAx>
        <c:axId val="29881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26875679"/>
        <c:crosses val="autoZero"/>
        <c:auto val="1"/>
        <c:lblAlgn val="ctr"/>
        <c:lblOffset val="100"/>
        <c:noMultiLvlLbl val="0"/>
      </c:catAx>
      <c:valAx>
        <c:axId val="2268756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98812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52331573655104"/>
          <c:y val="5.0925925925925923E-2"/>
          <c:w val="0.84547668426344902"/>
          <c:h val="0.72375875875875872"/>
        </c:manualLayout>
      </c:layout>
      <c:barChart>
        <c:barDir val="col"/>
        <c:grouping val="clustered"/>
        <c:varyColors val="0"/>
        <c:ser>
          <c:idx val="0"/>
          <c:order val="0"/>
          <c:tx>
            <c:strRef>
              <c:f>'[New Microsoft Excel Worksheet (2).xlsx]Sheet1'!$B$24</c:f>
              <c:strCache>
                <c:ptCount val="1"/>
                <c:pt idx="0">
                  <c:v>2009</c:v>
                </c:pt>
              </c:strCache>
            </c:strRef>
          </c:tx>
          <c:spPr>
            <a:solidFill>
              <a:srgbClr val="FF5050"/>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(2).xlsx]Sheet1'!$C$24:$D$24</c:f>
              <c:numCache>
                <c:formatCode>0.0%</c:formatCode>
                <c:ptCount val="2"/>
                <c:pt idx="0">
                  <c:v>0.105</c:v>
                </c:pt>
                <c:pt idx="1">
                  <c:v>-4.9000000000000002E-2</c:v>
                </c:pt>
              </c:numCache>
            </c:numRef>
          </c:val>
          <c:extLst>
            <c:ext xmlns:c16="http://schemas.microsoft.com/office/drawing/2014/chart" uri="{C3380CC4-5D6E-409C-BE32-E72D297353CC}">
              <c16:uniqueId val="{00000000-34C1-48EB-AB93-808D5DCD17C3}"/>
            </c:ext>
          </c:extLst>
        </c:ser>
        <c:ser>
          <c:idx val="1"/>
          <c:order val="1"/>
          <c:tx>
            <c:strRef>
              <c:f>'[New Microsoft Excel Worksheet (2).xlsx]Sheet1'!$B$25</c:f>
              <c:strCache>
                <c:ptCount val="1"/>
                <c:pt idx="0">
                  <c:v>2020</c:v>
                </c:pt>
              </c:strCache>
            </c:strRef>
          </c:tx>
          <c:spPr>
            <a:solidFill>
              <a:srgbClr val="0099CC"/>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(2).xlsx]Sheet1'!$C$25:$D$25</c:f>
              <c:numCache>
                <c:formatCode>0.0%</c:formatCode>
                <c:ptCount val="2"/>
                <c:pt idx="0">
                  <c:v>0.187</c:v>
                </c:pt>
                <c:pt idx="1">
                  <c:v>-0.1</c:v>
                </c:pt>
              </c:numCache>
            </c:numRef>
          </c:val>
          <c:extLst>
            <c:ext xmlns:c16="http://schemas.microsoft.com/office/drawing/2014/chart" uri="{C3380CC4-5D6E-409C-BE32-E72D297353CC}">
              <c16:uniqueId val="{00000001-34C1-48EB-AB93-808D5DCD17C3}"/>
            </c:ext>
          </c:extLst>
        </c:ser>
        <c:dLbls>
          <c:dLblPos val="outEnd"/>
          <c:showLegendKey val="0"/>
          <c:showVal val="1"/>
          <c:showCatName val="0"/>
          <c:showSerName val="0"/>
          <c:showPercent val="0"/>
          <c:showBubbleSize val="0"/>
        </c:dLbls>
        <c:gapWidth val="50"/>
        <c:axId val="1466488015"/>
        <c:axId val="1273891247"/>
      </c:barChart>
      <c:catAx>
        <c:axId val="14664880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91247"/>
        <c:crosses val="autoZero"/>
        <c:auto val="1"/>
        <c:lblAlgn val="ctr"/>
        <c:lblOffset val="100"/>
        <c:noMultiLvlLbl val="0"/>
      </c:catAx>
      <c:valAx>
        <c:axId val="127389124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66488015"/>
        <c:crosses val="autoZero"/>
        <c:crossBetween val="between"/>
      </c:valAx>
      <c:spPr>
        <a:noFill/>
        <a:ln>
          <a:noFill/>
        </a:ln>
        <a:effectLst/>
      </c:spPr>
    </c:plotArea>
    <c:legend>
      <c:legendPos val="b"/>
      <c:layout>
        <c:manualLayout>
          <c:xMode val="edge"/>
          <c:yMode val="edge"/>
          <c:x val="0.40624496937882765"/>
          <c:y val="0.92187445319335082"/>
          <c:w val="0.26938662644544997"/>
          <c:h val="7.8125625625625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17_1.xlsx]Sheet1'!$A$8</c:f>
              <c:strCache>
                <c:ptCount val="1"/>
              </c:strCache>
            </c:strRef>
          </c:tx>
          <c:spPr>
            <a:noFill/>
            <a:ln>
              <a:noFill/>
            </a:ln>
            <a:effectLst/>
          </c:spPr>
          <c:val>
            <c:numRef>
              <c:f>'[2021 FRS Chart sen 17_1.xlsx]Sheet1'!$B$8:$I$8</c:f>
              <c:numCache>
                <c:formatCode>0.0%</c:formatCode>
                <c:ptCount val="8"/>
                <c:pt idx="0">
                  <c:v>4.8433630174096631E-2</c:v>
                </c:pt>
                <c:pt idx="1">
                  <c:v>4.8427379806944781E-2</c:v>
                </c:pt>
                <c:pt idx="2">
                  <c:v>5.147762687887969E-2</c:v>
                </c:pt>
                <c:pt idx="3">
                  <c:v>-5.3524387011121277E-2</c:v>
                </c:pt>
                <c:pt idx="4">
                  <c:v>1.6067623366386917E-2</c:v>
                </c:pt>
                <c:pt idx="5">
                  <c:v>8.2812043543174785E-3</c:v>
                </c:pt>
                <c:pt idx="6">
                  <c:v>2.756881763166491E-3</c:v>
                </c:pt>
                <c:pt idx="7">
                  <c:v>4.2326782086432937E-3</c:v>
                </c:pt>
              </c:numCache>
            </c:numRef>
          </c:val>
          <c:extLst>
            <c:ext xmlns:c16="http://schemas.microsoft.com/office/drawing/2014/chart" uri="{C3380CC4-5D6E-409C-BE32-E72D297353CC}">
              <c16:uniqueId val="{00000000-60EC-4EA2-9478-51F9305D52E0}"/>
            </c:ext>
          </c:extLst>
        </c:ser>
        <c:ser>
          <c:idx val="1"/>
          <c:order val="1"/>
          <c:tx>
            <c:strRef>
              <c:f>'[2021 FRS Chart sen 17_1.xlsx]Sheet1'!$A$9</c:f>
              <c:strCache>
                <c:ptCount val="1"/>
                <c:pt idx="0">
                  <c:v>-95%</c:v>
                </c:pt>
              </c:strCache>
            </c:strRef>
          </c:tx>
          <c:spPr>
            <a:solidFill>
              <a:schemeClr val="accent1">
                <a:lumMod val="20000"/>
                <a:lumOff val="80000"/>
              </a:schemeClr>
            </a:solidFill>
            <a:ln>
              <a:solidFill>
                <a:schemeClr val="accent1">
                  <a:lumMod val="20000"/>
                  <a:lumOff val="80000"/>
                </a:schemeClr>
              </a:solidFill>
            </a:ln>
            <a:effectLst/>
          </c:spPr>
          <c:val>
            <c:numRef>
              <c:f>'[2021 FRS Chart sen 17_1.xlsx]Sheet1'!$B$9:$I$9</c:f>
              <c:numCache>
                <c:formatCode>General</c:formatCode>
                <c:ptCount val="8"/>
                <c:pt idx="3" formatCode="0.0%">
                  <c:v>2.7575066062253406E-3</c:v>
                </c:pt>
                <c:pt idx="4" formatCode="0.0%">
                  <c:v>2.0681299546690055E-2</c:v>
                </c:pt>
                <c:pt idx="5" formatCode="0.0%">
                  <c:v>2.4817559456028062E-2</c:v>
                </c:pt>
                <c:pt idx="6" formatCode="0.0%">
                  <c:v>2.7575066062253403E-2</c:v>
                </c:pt>
                <c:pt idx="7" formatCode="0.0%">
                  <c:v>3.033257266847874E-2</c:v>
                </c:pt>
              </c:numCache>
            </c:numRef>
          </c:val>
          <c:extLst>
            <c:ext xmlns:c16="http://schemas.microsoft.com/office/drawing/2014/chart" uri="{C3380CC4-5D6E-409C-BE32-E72D297353CC}">
              <c16:uniqueId val="{00000001-60EC-4EA2-9478-51F9305D52E0}"/>
            </c:ext>
          </c:extLst>
        </c:ser>
        <c:ser>
          <c:idx val="2"/>
          <c:order val="2"/>
          <c:tx>
            <c:strRef>
              <c:f>'[2021 FRS Chart sen 17_1.xlsx]Sheet1'!$A$10</c:f>
              <c:strCache>
                <c:ptCount val="1"/>
                <c:pt idx="0">
                  <c:v>-60%</c:v>
                </c:pt>
              </c:strCache>
            </c:strRef>
          </c:tx>
          <c:spPr>
            <a:solidFill>
              <a:schemeClr val="accent1">
                <a:lumMod val="40000"/>
                <a:lumOff val="60000"/>
              </a:schemeClr>
            </a:solidFill>
            <a:ln>
              <a:noFill/>
            </a:ln>
            <a:effectLst/>
          </c:spPr>
          <c:val>
            <c:numRef>
              <c:f>'[2021 FRS Chart sen 17_1.xlsx]Sheet1'!$B$10:$I$10</c:f>
              <c:numCache>
                <c:formatCode>General</c:formatCode>
                <c:ptCount val="8"/>
                <c:pt idx="3" formatCode="0.0%">
                  <c:v>9.7107218978908269E-4</c:v>
                </c:pt>
                <c:pt idx="4" formatCode="0.0%">
                  <c:v>7.2830414234181188E-3</c:v>
                </c:pt>
                <c:pt idx="5" formatCode="0.0%">
                  <c:v>8.7396497081017425E-3</c:v>
                </c:pt>
                <c:pt idx="6" formatCode="0.0%">
                  <c:v>9.7107218978908262E-3</c:v>
                </c:pt>
                <c:pt idx="7" formatCode="0.0%">
                  <c:v>1.0681794087679908E-2</c:v>
                </c:pt>
              </c:numCache>
            </c:numRef>
          </c:val>
          <c:extLst>
            <c:ext xmlns:c16="http://schemas.microsoft.com/office/drawing/2014/chart" uri="{C3380CC4-5D6E-409C-BE32-E72D297353CC}">
              <c16:uniqueId val="{00000002-60EC-4EA2-9478-51F9305D52E0}"/>
            </c:ext>
          </c:extLst>
        </c:ser>
        <c:ser>
          <c:idx val="3"/>
          <c:order val="3"/>
          <c:tx>
            <c:strRef>
              <c:f>'[2021 FRS Chart sen 17_1.xlsx]Sheet1'!$A$11</c:f>
              <c:strCache>
                <c:ptCount val="1"/>
                <c:pt idx="0">
                  <c:v>-30%</c:v>
                </c:pt>
              </c:strCache>
            </c:strRef>
          </c:tx>
          <c:spPr>
            <a:solidFill>
              <a:schemeClr val="accent1">
                <a:lumMod val="60000"/>
                <a:lumOff val="40000"/>
              </a:schemeClr>
            </a:solidFill>
            <a:ln>
              <a:noFill/>
            </a:ln>
            <a:effectLst/>
          </c:spPr>
          <c:val>
            <c:numRef>
              <c:f>'[2021 FRS Chart sen 17_1.xlsx]Sheet1'!$B$11:$I$11</c:f>
              <c:numCache>
                <c:formatCode>General</c:formatCode>
                <c:ptCount val="8"/>
                <c:pt idx="3" formatCode="0.0%">
                  <c:v>7.9573552958198677E-4</c:v>
                </c:pt>
                <c:pt idx="4" formatCode="0.0%">
                  <c:v>5.9680164718649009E-3</c:v>
                </c:pt>
                <c:pt idx="5" formatCode="0.0%">
                  <c:v>7.1616197662378806E-3</c:v>
                </c:pt>
                <c:pt idx="6" formatCode="0.0%">
                  <c:v>7.9573552958198679E-3</c:v>
                </c:pt>
                <c:pt idx="7" formatCode="0.0%">
                  <c:v>8.7530908254018543E-3</c:v>
                </c:pt>
              </c:numCache>
            </c:numRef>
          </c:val>
          <c:extLst>
            <c:ext xmlns:c16="http://schemas.microsoft.com/office/drawing/2014/chart" uri="{C3380CC4-5D6E-409C-BE32-E72D297353CC}">
              <c16:uniqueId val="{00000003-60EC-4EA2-9478-51F9305D52E0}"/>
            </c:ext>
          </c:extLst>
        </c:ser>
        <c:ser>
          <c:idx val="4"/>
          <c:order val="4"/>
          <c:tx>
            <c:strRef>
              <c:f>'[2021 FRS Chart sen 17_1.xlsx]Sheet1'!$A$12</c:f>
              <c:strCache>
                <c:ptCount val="1"/>
                <c:pt idx="0">
                  <c:v>+30%</c:v>
                </c:pt>
              </c:strCache>
            </c:strRef>
          </c:tx>
          <c:spPr>
            <a:solidFill>
              <a:schemeClr val="accent1">
                <a:lumMod val="60000"/>
                <a:lumOff val="40000"/>
              </a:schemeClr>
            </a:solidFill>
            <a:ln>
              <a:noFill/>
            </a:ln>
            <a:effectLst/>
          </c:spPr>
          <c:val>
            <c:numRef>
              <c:f>'[2021 FRS Chart sen 17_1.xlsx]Sheet1'!$B$12:$I$12</c:f>
              <c:numCache>
                <c:formatCode>General</c:formatCode>
                <c:ptCount val="8"/>
                <c:pt idx="3" formatCode="0.0%">
                  <c:v>7.9573552958198677E-4</c:v>
                </c:pt>
                <c:pt idx="4" formatCode="0.0%">
                  <c:v>5.9680164718649009E-3</c:v>
                </c:pt>
                <c:pt idx="5" formatCode="0.0%">
                  <c:v>7.1616197662378806E-3</c:v>
                </c:pt>
                <c:pt idx="6" formatCode="0.0%">
                  <c:v>7.9573552958198679E-3</c:v>
                </c:pt>
                <c:pt idx="7" formatCode="0.0%">
                  <c:v>8.7530908254018543E-3</c:v>
                </c:pt>
              </c:numCache>
            </c:numRef>
          </c:val>
          <c:extLst>
            <c:ext xmlns:c16="http://schemas.microsoft.com/office/drawing/2014/chart" uri="{C3380CC4-5D6E-409C-BE32-E72D297353CC}">
              <c16:uniqueId val="{00000004-60EC-4EA2-9478-51F9305D52E0}"/>
            </c:ext>
          </c:extLst>
        </c:ser>
        <c:ser>
          <c:idx val="5"/>
          <c:order val="5"/>
          <c:tx>
            <c:strRef>
              <c:f>'[2021 FRS Chart sen 17_1.xlsx]Sheet1'!$A$13</c:f>
              <c:strCache>
                <c:ptCount val="1"/>
                <c:pt idx="0">
                  <c:v>+60%</c:v>
                </c:pt>
              </c:strCache>
            </c:strRef>
          </c:tx>
          <c:spPr>
            <a:solidFill>
              <a:schemeClr val="accent1">
                <a:lumMod val="40000"/>
                <a:lumOff val="60000"/>
              </a:schemeClr>
            </a:solidFill>
            <a:ln>
              <a:noFill/>
            </a:ln>
            <a:effectLst/>
          </c:spPr>
          <c:val>
            <c:numRef>
              <c:f>'[2021 FRS Chart sen 17_1.xlsx]Sheet1'!$B$13:$I$13</c:f>
              <c:numCache>
                <c:formatCode>General</c:formatCode>
                <c:ptCount val="8"/>
                <c:pt idx="3" formatCode="0.0%">
                  <c:v>9.7107218978908269E-4</c:v>
                </c:pt>
                <c:pt idx="4" formatCode="0.0%">
                  <c:v>7.2830414234181188E-3</c:v>
                </c:pt>
                <c:pt idx="5" formatCode="0.0%">
                  <c:v>8.7396497081017425E-3</c:v>
                </c:pt>
                <c:pt idx="6" formatCode="0.0%">
                  <c:v>9.7107218978908262E-3</c:v>
                </c:pt>
                <c:pt idx="7" formatCode="0.0%">
                  <c:v>1.0681794087679908E-2</c:v>
                </c:pt>
              </c:numCache>
            </c:numRef>
          </c:val>
          <c:extLst>
            <c:ext xmlns:c16="http://schemas.microsoft.com/office/drawing/2014/chart" uri="{C3380CC4-5D6E-409C-BE32-E72D297353CC}">
              <c16:uniqueId val="{00000005-60EC-4EA2-9478-51F9305D52E0}"/>
            </c:ext>
          </c:extLst>
        </c:ser>
        <c:ser>
          <c:idx val="6"/>
          <c:order val="6"/>
          <c:tx>
            <c:strRef>
              <c:f>'[2021 FRS Chart sen 17_1.xlsx]Sheet1'!$A$14</c:f>
              <c:strCache>
                <c:ptCount val="1"/>
                <c:pt idx="0">
                  <c:v>+95%</c:v>
                </c:pt>
              </c:strCache>
            </c:strRef>
          </c:tx>
          <c:spPr>
            <a:solidFill>
              <a:schemeClr val="accent1">
                <a:lumMod val="20000"/>
                <a:lumOff val="80000"/>
              </a:schemeClr>
            </a:solidFill>
            <a:ln>
              <a:noFill/>
            </a:ln>
            <a:effectLst/>
          </c:spPr>
          <c:val>
            <c:numRef>
              <c:f>'[2021 FRS Chart sen 17_1.xlsx]Sheet1'!$B$14:$I$14</c:f>
              <c:numCache>
                <c:formatCode>General</c:formatCode>
                <c:ptCount val="8"/>
                <c:pt idx="3" formatCode="0.0%">
                  <c:v>2.7575066062253406E-3</c:v>
                </c:pt>
                <c:pt idx="4" formatCode="0.0%">
                  <c:v>2.0681299546690055E-2</c:v>
                </c:pt>
                <c:pt idx="5" formatCode="0.0%">
                  <c:v>2.4817559456028062E-2</c:v>
                </c:pt>
                <c:pt idx="6" formatCode="0.0%">
                  <c:v>2.7575066062253403E-2</c:v>
                </c:pt>
                <c:pt idx="7" formatCode="0.0%">
                  <c:v>3.033257266847874E-2</c:v>
                </c:pt>
              </c:numCache>
            </c:numRef>
          </c:val>
          <c:extLst>
            <c:ext xmlns:c16="http://schemas.microsoft.com/office/drawing/2014/chart" uri="{C3380CC4-5D6E-409C-BE32-E72D297353CC}">
              <c16:uniqueId val="{00000006-60EC-4EA2-9478-51F9305D52E0}"/>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'[2021 FRS Chart sen 17_1.xlsx]Sheet1'!$A$5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'[2021 FRS Chart sen 17_1.xlsx]Sheet1'!$B$2:$I$3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17_1.xlsx]Sheet1'!$B$5:$I$5</c:f>
              <c:numCache>
                <c:formatCode>0.0%</c:formatCode>
                <c:ptCount val="8"/>
                <c:pt idx="0">
                  <c:v>4.8433630174096631E-2</c:v>
                </c:pt>
                <c:pt idx="1">
                  <c:v>4.8427379806944781E-2</c:v>
                </c:pt>
                <c:pt idx="2">
                  <c:v>5.147762687887969E-2</c:v>
                </c:pt>
                <c:pt idx="3">
                  <c:v>-4.9000072685524865E-2</c:v>
                </c:pt>
                <c:pt idx="4">
                  <c:v>4.9999980808359989E-2</c:v>
                </c:pt>
                <c:pt idx="5">
                  <c:v>4.9000033284685163E-2</c:v>
                </c:pt>
                <c:pt idx="6">
                  <c:v>4.8000025019130588E-2</c:v>
                </c:pt>
                <c:pt idx="7">
                  <c:v>5.4000135790203796E-2</c:v>
                </c:pt>
              </c:numCache>
            </c:numRef>
          </c:val>
          <c:smooth val="0"/>
          <c:extLst>
            <c:ext xmlns:c16="http://schemas.microsoft.com/office/drawing/2014/chart" uri="{C3380CC4-5D6E-409C-BE32-E72D297353CC}">
              <c16:uniqueId val="{00000007-60EC-4EA2-9478-51F9305D52E0}"/>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1.798387477014475E-2"/>
          <c:y val="0.88653514099522202"/>
          <c:w val="0.98000031433196599"/>
          <c:h val="8.72811365522360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17_1.xlsx]Sheet1'!$A$33</c:f>
              <c:strCache>
                <c:ptCount val="1"/>
              </c:strCache>
            </c:strRef>
          </c:tx>
          <c:spPr>
            <a:noFill/>
            <a:ln>
              <a:noFill/>
            </a:ln>
            <a:effectLst/>
          </c:spPr>
          <c:val>
            <c:numRef>
              <c:f>'[2021 FRS Chart sen 17_1.xlsx]Sheet1'!$B$33:$I$33</c:f>
              <c:numCache>
                <c:formatCode>0.0%</c:formatCode>
                <c:ptCount val="8"/>
                <c:pt idx="0">
                  <c:v>6.035309014030088E-2</c:v>
                </c:pt>
                <c:pt idx="1">
                  <c:v>2.6152447139766721E-2</c:v>
                </c:pt>
                <c:pt idx="2">
                  <c:v>4.8528982169673052E-2</c:v>
                </c:pt>
                <c:pt idx="3">
                  <c:v>4.6446090434422826E-2</c:v>
                </c:pt>
                <c:pt idx="4">
                  <c:v>1.3902742697614389E-2</c:v>
                </c:pt>
                <c:pt idx="5">
                  <c:v>7.3789110383617601E-3</c:v>
                </c:pt>
                <c:pt idx="6">
                  <c:v>7.3777830759192004E-3</c:v>
                </c:pt>
                <c:pt idx="7">
                  <c:v>7.378898248112456E-3</c:v>
                </c:pt>
              </c:numCache>
            </c:numRef>
          </c:val>
          <c:extLst>
            <c:ext xmlns:c16="http://schemas.microsoft.com/office/drawing/2014/chart" uri="{C3380CC4-5D6E-409C-BE32-E72D297353CC}">
              <c16:uniqueId val="{00000000-44FE-478A-A3CA-C36F8BB91100}"/>
            </c:ext>
          </c:extLst>
        </c:ser>
        <c:ser>
          <c:idx val="1"/>
          <c:order val="1"/>
          <c:tx>
            <c:strRef>
              <c:f>'[2021 FRS Chart sen 17_1.xlsx]Sheet1'!$A$34</c:f>
              <c:strCache>
                <c:ptCount val="1"/>
                <c:pt idx="0">
                  <c:v>-95%</c:v>
                </c:pt>
              </c:strCache>
            </c:strRef>
          </c:tx>
          <c:spPr>
            <a:solidFill>
              <a:schemeClr val="accent1">
                <a:lumMod val="20000"/>
                <a:lumOff val="80000"/>
              </a:schemeClr>
            </a:solidFill>
            <a:ln>
              <a:noFill/>
            </a:ln>
            <a:effectLst/>
          </c:spPr>
          <c:val>
            <c:numRef>
              <c:f>'[2021 FRS Chart sen 17_1.xlsx]Sheet1'!$B$34:$I$34</c:f>
              <c:numCache>
                <c:formatCode>General</c:formatCode>
                <c:ptCount val="8"/>
                <c:pt idx="3" formatCode="0.0%">
                  <c:v>2.7575066062253406E-3</c:v>
                </c:pt>
                <c:pt idx="4" formatCode="0.0%">
                  <c:v>1.1030026424901362E-2</c:v>
                </c:pt>
                <c:pt idx="5" formatCode="0.0%">
                  <c:v>1.3787533031126701E-2</c:v>
                </c:pt>
                <c:pt idx="6" formatCode="0.0%">
                  <c:v>1.3787533031126701E-2</c:v>
                </c:pt>
                <c:pt idx="7" formatCode="0.0%">
                  <c:v>1.3787533031126701E-2</c:v>
                </c:pt>
              </c:numCache>
            </c:numRef>
          </c:val>
          <c:extLst>
            <c:ext xmlns:c16="http://schemas.microsoft.com/office/drawing/2014/chart" uri="{C3380CC4-5D6E-409C-BE32-E72D297353CC}">
              <c16:uniqueId val="{00000001-44FE-478A-A3CA-C36F8BB91100}"/>
            </c:ext>
          </c:extLst>
        </c:ser>
        <c:ser>
          <c:idx val="2"/>
          <c:order val="2"/>
          <c:tx>
            <c:strRef>
              <c:f>'[2021 FRS Chart sen 17_1.xlsx]Sheet1'!$A$35</c:f>
              <c:strCache>
                <c:ptCount val="1"/>
                <c:pt idx="0">
                  <c:v>-60%</c:v>
                </c:pt>
              </c:strCache>
            </c:strRef>
          </c:tx>
          <c:spPr>
            <a:solidFill>
              <a:schemeClr val="accent1">
                <a:lumMod val="40000"/>
                <a:lumOff val="60000"/>
              </a:schemeClr>
            </a:solidFill>
            <a:ln>
              <a:noFill/>
            </a:ln>
            <a:effectLst/>
          </c:spPr>
          <c:val>
            <c:numRef>
              <c:f>'[2021 FRS Chart sen 17_1.xlsx]Sheet1'!$B$35:$I$35</c:f>
              <c:numCache>
                <c:formatCode>General</c:formatCode>
                <c:ptCount val="8"/>
                <c:pt idx="3" formatCode="0.0%">
                  <c:v>9.7107218978908269E-4</c:v>
                </c:pt>
                <c:pt idx="4" formatCode="0.0%">
                  <c:v>3.8842887591563307E-3</c:v>
                </c:pt>
                <c:pt idx="5" formatCode="0.0%">
                  <c:v>4.8553609489454131E-3</c:v>
                </c:pt>
                <c:pt idx="6" formatCode="0.0%">
                  <c:v>4.8553609489454131E-3</c:v>
                </c:pt>
                <c:pt idx="7" formatCode="0.0%">
                  <c:v>4.8553609489454131E-3</c:v>
                </c:pt>
              </c:numCache>
            </c:numRef>
          </c:val>
          <c:extLst>
            <c:ext xmlns:c16="http://schemas.microsoft.com/office/drawing/2014/chart" uri="{C3380CC4-5D6E-409C-BE32-E72D297353CC}">
              <c16:uniqueId val="{00000002-44FE-478A-A3CA-C36F8BB91100}"/>
            </c:ext>
          </c:extLst>
        </c:ser>
        <c:ser>
          <c:idx val="3"/>
          <c:order val="3"/>
          <c:tx>
            <c:strRef>
              <c:f>'[2021 FRS Chart sen 17_1.xlsx]Sheet1'!$A$36</c:f>
              <c:strCache>
                <c:ptCount val="1"/>
                <c:pt idx="0">
                  <c:v>-30%</c:v>
                </c:pt>
              </c:strCache>
            </c:strRef>
          </c:tx>
          <c:spPr>
            <a:solidFill>
              <a:schemeClr val="accent1">
                <a:lumMod val="60000"/>
                <a:lumOff val="40000"/>
              </a:schemeClr>
            </a:solidFill>
            <a:ln>
              <a:noFill/>
            </a:ln>
            <a:effectLst/>
          </c:spPr>
          <c:val>
            <c:numRef>
              <c:f>'[2021 FRS Chart sen 17_1.xlsx]Sheet1'!$B$36:$I$36</c:f>
              <c:numCache>
                <c:formatCode>General</c:formatCode>
                <c:ptCount val="8"/>
                <c:pt idx="3" formatCode="0.0%">
                  <c:v>7.9573552958198677E-4</c:v>
                </c:pt>
                <c:pt idx="4" formatCode="0.0%">
                  <c:v>3.1829421183279471E-3</c:v>
                </c:pt>
                <c:pt idx="5" formatCode="0.0%">
                  <c:v>3.9786776479099339E-3</c:v>
                </c:pt>
                <c:pt idx="6" formatCode="0.0%">
                  <c:v>3.9786776479099339E-3</c:v>
                </c:pt>
                <c:pt idx="7" formatCode="0.0%">
                  <c:v>3.9786776479099339E-3</c:v>
                </c:pt>
              </c:numCache>
            </c:numRef>
          </c:val>
          <c:extLst>
            <c:ext xmlns:c16="http://schemas.microsoft.com/office/drawing/2014/chart" uri="{C3380CC4-5D6E-409C-BE32-E72D297353CC}">
              <c16:uniqueId val="{00000003-44FE-478A-A3CA-C36F8BB91100}"/>
            </c:ext>
          </c:extLst>
        </c:ser>
        <c:ser>
          <c:idx val="4"/>
          <c:order val="4"/>
          <c:tx>
            <c:strRef>
              <c:f>'[2021 FRS Chart sen 17_1.xlsx]Sheet1'!$A$37</c:f>
              <c:strCache>
                <c:ptCount val="1"/>
                <c:pt idx="0">
                  <c:v>+30%</c:v>
                </c:pt>
              </c:strCache>
            </c:strRef>
          </c:tx>
          <c:spPr>
            <a:solidFill>
              <a:schemeClr val="accent1">
                <a:lumMod val="60000"/>
                <a:lumOff val="40000"/>
              </a:schemeClr>
            </a:solidFill>
            <a:ln>
              <a:noFill/>
            </a:ln>
            <a:effectLst/>
          </c:spPr>
          <c:val>
            <c:numRef>
              <c:f>'[2021 FRS Chart sen 17_1.xlsx]Sheet1'!$B$37:$I$37</c:f>
              <c:numCache>
                <c:formatCode>General</c:formatCode>
                <c:ptCount val="8"/>
                <c:pt idx="3" formatCode="0.0%">
                  <c:v>7.9573552958198677E-4</c:v>
                </c:pt>
                <c:pt idx="4" formatCode="0.0%">
                  <c:v>3.1829421183279471E-3</c:v>
                </c:pt>
                <c:pt idx="5" formatCode="0.0%">
                  <c:v>3.9786776479099339E-3</c:v>
                </c:pt>
                <c:pt idx="6" formatCode="0.0%">
                  <c:v>3.9786776479099339E-3</c:v>
                </c:pt>
                <c:pt idx="7" formatCode="0.0%">
                  <c:v>3.9786776479099339E-3</c:v>
                </c:pt>
              </c:numCache>
            </c:numRef>
          </c:val>
          <c:extLst>
            <c:ext xmlns:c16="http://schemas.microsoft.com/office/drawing/2014/chart" uri="{C3380CC4-5D6E-409C-BE32-E72D297353CC}">
              <c16:uniqueId val="{00000004-44FE-478A-A3CA-C36F8BB91100}"/>
            </c:ext>
          </c:extLst>
        </c:ser>
        <c:ser>
          <c:idx val="5"/>
          <c:order val="5"/>
          <c:tx>
            <c:strRef>
              <c:f>'[2021 FRS Chart sen 17_1.xlsx]Sheet1'!$A$38</c:f>
              <c:strCache>
                <c:ptCount val="1"/>
                <c:pt idx="0">
                  <c:v>+60%</c:v>
                </c:pt>
              </c:strCache>
            </c:strRef>
          </c:tx>
          <c:spPr>
            <a:solidFill>
              <a:schemeClr val="accent1">
                <a:lumMod val="40000"/>
                <a:lumOff val="60000"/>
              </a:schemeClr>
            </a:solidFill>
            <a:ln>
              <a:noFill/>
            </a:ln>
            <a:effectLst/>
          </c:spPr>
          <c:val>
            <c:numRef>
              <c:f>'[2021 FRS Chart sen 17_1.xlsx]Sheet1'!$B$38:$I$38</c:f>
              <c:numCache>
                <c:formatCode>General</c:formatCode>
                <c:ptCount val="8"/>
                <c:pt idx="3" formatCode="0.0%">
                  <c:v>9.7107218978908269E-4</c:v>
                </c:pt>
                <c:pt idx="4" formatCode="0.0%">
                  <c:v>3.8842887591563307E-3</c:v>
                </c:pt>
                <c:pt idx="5" formatCode="0.0%">
                  <c:v>4.8553609489454131E-3</c:v>
                </c:pt>
                <c:pt idx="6" formatCode="0.0%">
                  <c:v>4.8553609489454131E-3</c:v>
                </c:pt>
                <c:pt idx="7" formatCode="0.0%">
                  <c:v>4.8553609489454131E-3</c:v>
                </c:pt>
              </c:numCache>
            </c:numRef>
          </c:val>
          <c:extLst>
            <c:ext xmlns:c16="http://schemas.microsoft.com/office/drawing/2014/chart" uri="{C3380CC4-5D6E-409C-BE32-E72D297353CC}">
              <c16:uniqueId val="{00000005-44FE-478A-A3CA-C36F8BB91100}"/>
            </c:ext>
          </c:extLst>
        </c:ser>
        <c:ser>
          <c:idx val="6"/>
          <c:order val="6"/>
          <c:tx>
            <c:strRef>
              <c:f>'[2021 FRS Chart sen 17_1.xlsx]Sheet1'!$A$39</c:f>
              <c:strCache>
                <c:ptCount val="1"/>
                <c:pt idx="0">
                  <c:v>+95%</c:v>
                </c:pt>
              </c:strCache>
            </c:strRef>
          </c:tx>
          <c:spPr>
            <a:solidFill>
              <a:schemeClr val="accent1">
                <a:lumMod val="20000"/>
                <a:lumOff val="80000"/>
              </a:schemeClr>
            </a:solidFill>
            <a:ln>
              <a:noFill/>
            </a:ln>
            <a:effectLst/>
          </c:spPr>
          <c:val>
            <c:numRef>
              <c:f>'[2021 FRS Chart sen 17_1.xlsx]Sheet1'!$B$39:$I$39</c:f>
              <c:numCache>
                <c:formatCode>General</c:formatCode>
                <c:ptCount val="8"/>
                <c:pt idx="3" formatCode="0.0%">
                  <c:v>2.7575066062253406E-3</c:v>
                </c:pt>
                <c:pt idx="4" formatCode="0.0%">
                  <c:v>1.1030026424901362E-2</c:v>
                </c:pt>
                <c:pt idx="5" formatCode="0.0%">
                  <c:v>1.3787533031126701E-2</c:v>
                </c:pt>
                <c:pt idx="6" formatCode="0.0%">
                  <c:v>1.3787533031126701E-2</c:v>
                </c:pt>
                <c:pt idx="7" formatCode="0.0%">
                  <c:v>1.3787533031126701E-2</c:v>
                </c:pt>
              </c:numCache>
            </c:numRef>
          </c:val>
          <c:extLst>
            <c:ext xmlns:c16="http://schemas.microsoft.com/office/drawing/2014/chart" uri="{C3380CC4-5D6E-409C-BE32-E72D297353CC}">
              <c16:uniqueId val="{00000006-44FE-478A-A3CA-C36F8BB91100}"/>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'[2021 FRS Chart sen 17_1.xlsx]Sheet1'!$A$30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'[2021 FRS Chart sen 17_1.xlsx]Sheet1'!$B$2:$I$3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17_1.xlsx]Sheet1'!$B$30:$I$30</c:f>
              <c:numCache>
                <c:formatCode>0.0%</c:formatCode>
                <c:ptCount val="8"/>
                <c:pt idx="0">
                  <c:v>6.035309014030088E-2</c:v>
                </c:pt>
                <c:pt idx="1">
                  <c:v>2.6152447139766721E-2</c:v>
                </c:pt>
                <c:pt idx="2">
                  <c:v>4.8528982169673052E-2</c:v>
                </c:pt>
                <c:pt idx="3">
                  <c:v>5.0970404760019239E-2</c:v>
                </c:pt>
                <c:pt idx="4">
                  <c:v>3.2000000000000028E-2</c:v>
                </c:pt>
                <c:pt idx="5">
                  <c:v>3.0000482666343808E-2</c:v>
                </c:pt>
                <c:pt idx="6">
                  <c:v>2.9999354703901249E-2</c:v>
                </c:pt>
                <c:pt idx="7">
                  <c:v>3.0000469876094504E-2</c:v>
                </c:pt>
              </c:numCache>
            </c:numRef>
          </c:val>
          <c:smooth val="0"/>
          <c:extLst>
            <c:ext xmlns:c16="http://schemas.microsoft.com/office/drawing/2014/chart" uri="{C3380CC4-5D6E-409C-BE32-E72D297353CC}">
              <c16:uniqueId val="{00000007-44FE-478A-A3CA-C36F8BB91100}"/>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17_1.xlsx]Sheet1'!$A$61</c:f>
              <c:strCache>
                <c:ptCount val="1"/>
              </c:strCache>
            </c:strRef>
          </c:tx>
          <c:spPr>
            <a:noFill/>
            <a:ln>
              <a:noFill/>
            </a:ln>
            <a:effectLst/>
          </c:spPr>
          <c:val>
            <c:numRef>
              <c:f>'[2021 FRS Chart sen 17_1.xlsx]Sheet1'!$B$61:$I$61</c:f>
              <c:numCache>
                <c:formatCode>0.0</c:formatCode>
                <c:ptCount val="8"/>
                <c:pt idx="0">
                  <c:v>10921.173906980001</c:v>
                </c:pt>
                <c:pt idx="1">
                  <c:v>11822.151901180001</c:v>
                </c:pt>
                <c:pt idx="2">
                  <c:v>12907.343685770002</c:v>
                </c:pt>
                <c:pt idx="3">
                  <c:v>12163</c:v>
                </c:pt>
                <c:pt idx="4">
                  <c:v>11936.97920816941</c:v>
                </c:pt>
                <c:pt idx="5">
                  <c:v>13100.406950178423</c:v>
                </c:pt>
                <c:pt idx="6">
                  <c:v>14449.84274747093</c:v>
                </c:pt>
                <c:pt idx="7">
                  <c:v>15729.086825788534</c:v>
                </c:pt>
              </c:numCache>
            </c:numRef>
          </c:val>
          <c:extLst>
            <c:ext xmlns:c16="http://schemas.microsoft.com/office/drawing/2014/chart" uri="{C3380CC4-5D6E-409C-BE32-E72D297353CC}">
              <c16:uniqueId val="{00000000-323A-4EDB-8D33-D5056788BAF7}"/>
            </c:ext>
          </c:extLst>
        </c:ser>
        <c:ser>
          <c:idx val="1"/>
          <c:order val="1"/>
          <c:tx>
            <c:strRef>
              <c:f>'[2021 FRS Chart sen 17_1.xlsx]Sheet1'!$A$62</c:f>
              <c:strCache>
                <c:ptCount val="1"/>
                <c:pt idx="0">
                  <c:v>-95%</c:v>
                </c:pt>
              </c:strCache>
            </c:strRef>
          </c:tx>
          <c:spPr>
            <a:solidFill>
              <a:schemeClr val="accent1">
                <a:lumMod val="20000"/>
                <a:lumOff val="80000"/>
              </a:schemeClr>
            </a:solidFill>
            <a:ln>
              <a:noFill/>
            </a:ln>
            <a:effectLst/>
          </c:spPr>
          <c:val>
            <c:numRef>
              <c:f>'[2021 FRS Chart sen 17_1.xlsx]Sheet1'!$B$62:$I$62</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1-323A-4EDB-8D33-D5056788BAF7}"/>
            </c:ext>
          </c:extLst>
        </c:ser>
        <c:ser>
          <c:idx val="2"/>
          <c:order val="2"/>
          <c:tx>
            <c:strRef>
              <c:f>'[2021 FRS Chart sen 17_1.xlsx]Sheet1'!$A$63</c:f>
              <c:strCache>
                <c:ptCount val="1"/>
                <c:pt idx="0">
                  <c:v>-60%</c:v>
                </c:pt>
              </c:strCache>
            </c:strRef>
          </c:tx>
          <c:spPr>
            <a:solidFill>
              <a:schemeClr val="accent1">
                <a:lumMod val="40000"/>
                <a:lumOff val="60000"/>
              </a:schemeClr>
            </a:solidFill>
            <a:ln>
              <a:noFill/>
            </a:ln>
            <a:effectLst/>
          </c:spPr>
          <c:val>
            <c:numRef>
              <c:f>'[2021 FRS Chart sen 17_1.xlsx]Sheet1'!$B$63:$I$63</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2-323A-4EDB-8D33-D5056788BAF7}"/>
            </c:ext>
          </c:extLst>
        </c:ser>
        <c:ser>
          <c:idx val="3"/>
          <c:order val="3"/>
          <c:tx>
            <c:strRef>
              <c:f>'[2021 FRS Chart sen 17_1.xlsx]Sheet1'!$A$64</c:f>
              <c:strCache>
                <c:ptCount val="1"/>
                <c:pt idx="0">
                  <c:v>-30%</c:v>
                </c:pt>
              </c:strCache>
            </c:strRef>
          </c:tx>
          <c:spPr>
            <a:solidFill>
              <a:schemeClr val="accent1">
                <a:lumMod val="60000"/>
                <a:lumOff val="40000"/>
              </a:schemeClr>
            </a:solidFill>
            <a:ln>
              <a:noFill/>
            </a:ln>
            <a:effectLst/>
          </c:spPr>
          <c:val>
            <c:numRef>
              <c:f>'[2021 FRS Chart sen 17_1.xlsx]Sheet1'!$B$64:$I$64</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3-323A-4EDB-8D33-D5056788BAF7}"/>
            </c:ext>
          </c:extLst>
        </c:ser>
        <c:ser>
          <c:idx val="4"/>
          <c:order val="4"/>
          <c:tx>
            <c:strRef>
              <c:f>'[2021 FRS Chart sen 17_1.xlsx]Sheet1'!$A$65</c:f>
              <c:strCache>
                <c:ptCount val="1"/>
                <c:pt idx="0">
                  <c:v>+30%</c:v>
                </c:pt>
              </c:strCache>
            </c:strRef>
          </c:tx>
          <c:spPr>
            <a:solidFill>
              <a:schemeClr val="accent1">
                <a:lumMod val="60000"/>
                <a:lumOff val="40000"/>
              </a:schemeClr>
            </a:solidFill>
            <a:ln>
              <a:noFill/>
            </a:ln>
            <a:effectLst/>
          </c:spPr>
          <c:val>
            <c:numRef>
              <c:f>'[2021 FRS Chart sen 17_1.xlsx]Sheet1'!$B$65:$I$65</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4-323A-4EDB-8D33-D5056788BAF7}"/>
            </c:ext>
          </c:extLst>
        </c:ser>
        <c:ser>
          <c:idx val="5"/>
          <c:order val="5"/>
          <c:tx>
            <c:strRef>
              <c:f>'[2021 FRS Chart sen 17_1.xlsx]Sheet1'!$A$66</c:f>
              <c:strCache>
                <c:ptCount val="1"/>
                <c:pt idx="0">
                  <c:v>+60%</c:v>
                </c:pt>
              </c:strCache>
            </c:strRef>
          </c:tx>
          <c:spPr>
            <a:solidFill>
              <a:schemeClr val="accent1">
                <a:lumMod val="40000"/>
                <a:lumOff val="60000"/>
              </a:schemeClr>
            </a:solidFill>
            <a:ln>
              <a:noFill/>
            </a:ln>
            <a:effectLst/>
          </c:spPr>
          <c:val>
            <c:numRef>
              <c:f>'[2021 FRS Chart sen 17_1.xlsx]Sheet1'!$B$66:$I$66</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5-323A-4EDB-8D33-D5056788BAF7}"/>
            </c:ext>
          </c:extLst>
        </c:ser>
        <c:ser>
          <c:idx val="6"/>
          <c:order val="6"/>
          <c:tx>
            <c:strRef>
              <c:f>'[2021 FRS Chart sen 17_1.xlsx]Sheet1'!$A$67</c:f>
              <c:strCache>
                <c:ptCount val="1"/>
                <c:pt idx="0">
                  <c:v>+95%</c:v>
                </c:pt>
              </c:strCache>
            </c:strRef>
          </c:tx>
          <c:spPr>
            <a:solidFill>
              <a:schemeClr val="accent1">
                <a:lumMod val="20000"/>
                <a:lumOff val="80000"/>
              </a:schemeClr>
            </a:solidFill>
            <a:ln>
              <a:noFill/>
            </a:ln>
            <a:effectLst/>
          </c:spPr>
          <c:val>
            <c:numRef>
              <c:f>'[2021 FRS Chart sen 17_1.xlsx]Sheet1'!$B$67:$I$67</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6-323A-4EDB-8D33-D5056788BAF7}"/>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'[2021 FRS Chart sen 17_1.xlsx]Sheet1'!$A$58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'[2021 FRS Chart sen 17_1.xlsx]Sheet1'!$B$2:$I$3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17_1.xlsx]Sheet1'!$B$58:$I$58</c:f>
              <c:numCache>
                <c:formatCode>0.0</c:formatCode>
                <c:ptCount val="8"/>
                <c:pt idx="0">
                  <c:v>10921.173906980001</c:v>
                </c:pt>
                <c:pt idx="1">
                  <c:v>11822.151901180001</c:v>
                </c:pt>
                <c:pt idx="2">
                  <c:v>12907.343685770002</c:v>
                </c:pt>
                <c:pt idx="3">
                  <c:v>12163</c:v>
                </c:pt>
                <c:pt idx="4">
                  <c:v>13605</c:v>
                </c:pt>
                <c:pt idx="5">
                  <c:v>14931</c:v>
                </c:pt>
                <c:pt idx="6">
                  <c:v>16469</c:v>
                </c:pt>
                <c:pt idx="7">
                  <c:v>17927</c:v>
                </c:pt>
              </c:numCache>
            </c:numRef>
          </c:val>
          <c:smooth val="0"/>
          <c:extLst>
            <c:ext xmlns:c16="http://schemas.microsoft.com/office/drawing/2014/chart" uri="{C3380CC4-5D6E-409C-BE32-E72D297353CC}">
              <c16:uniqueId val="{00000007-323A-4EDB-8D33-D5056788BAF7}"/>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17_1.xlsx]Sheet1'!$A$89</c:f>
              <c:strCache>
                <c:ptCount val="1"/>
              </c:strCache>
            </c:strRef>
          </c:tx>
          <c:spPr>
            <a:noFill/>
            <a:ln>
              <a:noFill/>
            </a:ln>
            <a:effectLst/>
          </c:spPr>
          <c:val>
            <c:numRef>
              <c:f>'[2021 FRS Chart sen 17_1.xlsx]Sheet1'!$B$89:$I$89</c:f>
              <c:numCache>
                <c:formatCode>0.0%</c:formatCode>
                <c:ptCount val="8"/>
                <c:pt idx="0">
                  <c:v>-8.774343108182427E-3</c:v>
                </c:pt>
                <c:pt idx="1">
                  <c:v>-7.2837856225508625E-3</c:v>
                </c:pt>
                <c:pt idx="2">
                  <c:v>-2.7048413087628509E-2</c:v>
                </c:pt>
                <c:pt idx="3">
                  <c:v>-8.3394487287928351E-2</c:v>
                </c:pt>
                <c:pt idx="4">
                  <c:v>-6.3623551263744457E-2</c:v>
                </c:pt>
                <c:pt idx="5">
                  <c:v>-5.6093344560023545E-2</c:v>
                </c:pt>
                <c:pt idx="6">
                  <c:v>-4.4868473862749642E-2</c:v>
                </c:pt>
                <c:pt idx="7">
                  <c:v>-3.8687741922487771E-2</c:v>
                </c:pt>
              </c:numCache>
            </c:numRef>
          </c:val>
          <c:extLst>
            <c:ext xmlns:c16="http://schemas.microsoft.com/office/drawing/2014/chart" uri="{C3380CC4-5D6E-409C-BE32-E72D297353CC}">
              <c16:uniqueId val="{00000000-9734-4F8A-812E-05CB0C1C7C7C}"/>
            </c:ext>
          </c:extLst>
        </c:ser>
        <c:ser>
          <c:idx val="1"/>
          <c:order val="1"/>
          <c:tx>
            <c:strRef>
              <c:f>'[2021 FRS Chart sen 17_1.xlsx]Sheet1'!$A$90</c:f>
              <c:strCache>
                <c:ptCount val="1"/>
                <c:pt idx="0">
                  <c:v>-95%</c:v>
                </c:pt>
              </c:strCache>
            </c:strRef>
          </c:tx>
          <c:spPr>
            <a:solidFill>
              <a:schemeClr val="accent1">
                <a:lumMod val="20000"/>
                <a:lumOff val="80000"/>
              </a:schemeClr>
            </a:solidFill>
            <a:ln>
              <a:noFill/>
            </a:ln>
            <a:effectLst/>
          </c:spPr>
          <c:val>
            <c:numRef>
              <c:f>'[2021 FRS Chart sen 17_1.xlsx]Sheet1'!$B$90:$I$90</c:f>
              <c:numCache>
                <c:formatCode>General</c:formatCode>
                <c:ptCount val="8"/>
                <c:pt idx="3" formatCode="0.0%">
                  <c:v>0</c:v>
                </c:pt>
                <c:pt idx="4" formatCode="0.0%">
                  <c:v>8.6862424962447851E-3</c:v>
                </c:pt>
                <c:pt idx="5" formatCode="0.0%">
                  <c:v>8.6862424962447851E-3</c:v>
                </c:pt>
                <c:pt idx="6" formatCode="0.0%">
                  <c:v>8.6862424962447851E-3</c:v>
                </c:pt>
                <c:pt idx="7" formatCode="0.0%">
                  <c:v>8.6862424962447851E-3</c:v>
                </c:pt>
              </c:numCache>
            </c:numRef>
          </c:val>
          <c:extLst>
            <c:ext xmlns:c16="http://schemas.microsoft.com/office/drawing/2014/chart" uri="{C3380CC4-5D6E-409C-BE32-E72D297353CC}">
              <c16:uniqueId val="{00000001-9734-4F8A-812E-05CB0C1C7C7C}"/>
            </c:ext>
          </c:extLst>
        </c:ser>
        <c:ser>
          <c:idx val="2"/>
          <c:order val="2"/>
          <c:tx>
            <c:strRef>
              <c:f>'[2021 FRS Chart sen 17_1.xlsx]Sheet1'!$A$91</c:f>
              <c:strCache>
                <c:ptCount val="1"/>
                <c:pt idx="0">
                  <c:v>-60%</c:v>
                </c:pt>
              </c:strCache>
            </c:strRef>
          </c:tx>
          <c:spPr>
            <a:solidFill>
              <a:schemeClr val="accent1">
                <a:lumMod val="40000"/>
                <a:lumOff val="60000"/>
              </a:schemeClr>
            </a:solidFill>
            <a:ln>
              <a:noFill/>
            </a:ln>
            <a:effectLst/>
          </c:spPr>
          <c:val>
            <c:numRef>
              <c:f>'[2021 FRS Chart sen 17_1.xlsx]Sheet1'!$B$91:$I$91</c:f>
              <c:numCache>
                <c:formatCode>General</c:formatCode>
                <c:ptCount val="8"/>
                <c:pt idx="3" formatCode="0.0%">
                  <c:v>0</c:v>
                </c:pt>
                <c:pt idx="4" formatCode="0.0%">
                  <c:v>3.0589114466034804E-3</c:v>
                </c:pt>
                <c:pt idx="5" formatCode="0.0%">
                  <c:v>3.0589114466034804E-3</c:v>
                </c:pt>
                <c:pt idx="6" formatCode="0.0%">
                  <c:v>3.0589114466034804E-3</c:v>
                </c:pt>
                <c:pt idx="7" formatCode="0.0%">
                  <c:v>3.0589114466034804E-3</c:v>
                </c:pt>
              </c:numCache>
            </c:numRef>
          </c:val>
          <c:extLst>
            <c:ext xmlns:c16="http://schemas.microsoft.com/office/drawing/2014/chart" uri="{C3380CC4-5D6E-409C-BE32-E72D297353CC}">
              <c16:uniqueId val="{00000002-9734-4F8A-812E-05CB0C1C7C7C}"/>
            </c:ext>
          </c:extLst>
        </c:ser>
        <c:ser>
          <c:idx val="3"/>
          <c:order val="3"/>
          <c:tx>
            <c:strRef>
              <c:f>'[2021 FRS Chart sen 17_1.xlsx]Sheet1'!$A$92</c:f>
              <c:strCache>
                <c:ptCount val="1"/>
                <c:pt idx="0">
                  <c:v>-30%</c:v>
                </c:pt>
              </c:strCache>
            </c:strRef>
          </c:tx>
          <c:spPr>
            <a:solidFill>
              <a:schemeClr val="accent1">
                <a:lumMod val="60000"/>
                <a:lumOff val="40000"/>
              </a:schemeClr>
            </a:solidFill>
            <a:ln>
              <a:noFill/>
            </a:ln>
            <a:effectLst/>
          </c:spPr>
          <c:val>
            <c:numRef>
              <c:f>'[2021 FRS Chart sen 17_1.xlsx]Sheet1'!$B$92:$I$92</c:f>
              <c:numCache>
                <c:formatCode>General</c:formatCode>
                <c:ptCount val="8"/>
                <c:pt idx="3" formatCode="0.0%">
                  <c:v>0</c:v>
                </c:pt>
                <c:pt idx="4" formatCode="0.0%">
                  <c:v>2.5065948191103139E-3</c:v>
                </c:pt>
                <c:pt idx="5" formatCode="0.0%">
                  <c:v>2.5065948191103139E-3</c:v>
                </c:pt>
                <c:pt idx="6" formatCode="0.0%">
                  <c:v>2.5065948191103139E-3</c:v>
                </c:pt>
                <c:pt idx="7" formatCode="0.0%">
                  <c:v>2.5065948191103139E-3</c:v>
                </c:pt>
              </c:numCache>
            </c:numRef>
          </c:val>
          <c:extLst>
            <c:ext xmlns:c16="http://schemas.microsoft.com/office/drawing/2014/chart" uri="{C3380CC4-5D6E-409C-BE32-E72D297353CC}">
              <c16:uniqueId val="{00000003-9734-4F8A-812E-05CB0C1C7C7C}"/>
            </c:ext>
          </c:extLst>
        </c:ser>
        <c:ser>
          <c:idx val="4"/>
          <c:order val="4"/>
          <c:tx>
            <c:strRef>
              <c:f>'[2021 FRS Chart sen 17_1.xlsx]Sheet1'!$A$93</c:f>
              <c:strCache>
                <c:ptCount val="1"/>
                <c:pt idx="0">
                  <c:v>+30%</c:v>
                </c:pt>
              </c:strCache>
            </c:strRef>
          </c:tx>
          <c:spPr>
            <a:solidFill>
              <a:schemeClr val="accent1">
                <a:lumMod val="60000"/>
                <a:lumOff val="40000"/>
              </a:schemeClr>
            </a:solidFill>
            <a:ln>
              <a:noFill/>
            </a:ln>
            <a:effectLst/>
          </c:spPr>
          <c:val>
            <c:numRef>
              <c:f>'[2021 FRS Chart sen 17_1.xlsx]Sheet1'!$B$93:$I$93</c:f>
              <c:numCache>
                <c:formatCode>General</c:formatCode>
                <c:ptCount val="8"/>
                <c:pt idx="3" formatCode="0.0%">
                  <c:v>0</c:v>
                </c:pt>
                <c:pt idx="4" formatCode="0.0%">
                  <c:v>2.5065948191103139E-3</c:v>
                </c:pt>
                <c:pt idx="5" formatCode="0.0%">
                  <c:v>2.5065948191103139E-3</c:v>
                </c:pt>
                <c:pt idx="6" formatCode="0.0%">
                  <c:v>2.5065948191103139E-3</c:v>
                </c:pt>
                <c:pt idx="7" formatCode="0.0%">
                  <c:v>2.5065948191103139E-3</c:v>
                </c:pt>
              </c:numCache>
            </c:numRef>
          </c:val>
          <c:extLst>
            <c:ext xmlns:c16="http://schemas.microsoft.com/office/drawing/2014/chart" uri="{C3380CC4-5D6E-409C-BE32-E72D297353CC}">
              <c16:uniqueId val="{00000004-9734-4F8A-812E-05CB0C1C7C7C}"/>
            </c:ext>
          </c:extLst>
        </c:ser>
        <c:ser>
          <c:idx val="5"/>
          <c:order val="5"/>
          <c:tx>
            <c:strRef>
              <c:f>'[2021 FRS Chart sen 17_1.xlsx]Sheet1'!$A$94</c:f>
              <c:strCache>
                <c:ptCount val="1"/>
                <c:pt idx="0">
                  <c:v>+60%</c:v>
                </c:pt>
              </c:strCache>
            </c:strRef>
          </c:tx>
          <c:spPr>
            <a:solidFill>
              <a:schemeClr val="accent1">
                <a:lumMod val="40000"/>
                <a:lumOff val="60000"/>
              </a:schemeClr>
            </a:solidFill>
            <a:ln>
              <a:noFill/>
            </a:ln>
            <a:effectLst/>
          </c:spPr>
          <c:val>
            <c:numRef>
              <c:f>'[2021 FRS Chart sen 17_1.xlsx]Sheet1'!$B$94:$I$94</c:f>
              <c:numCache>
                <c:formatCode>General</c:formatCode>
                <c:ptCount val="8"/>
                <c:pt idx="3" formatCode="0.0%">
                  <c:v>0</c:v>
                </c:pt>
                <c:pt idx="4" formatCode="0.0%">
                  <c:v>3.0589114466034804E-3</c:v>
                </c:pt>
                <c:pt idx="5" formatCode="0.0%">
                  <c:v>3.0589114466034804E-3</c:v>
                </c:pt>
                <c:pt idx="6" formatCode="0.0%">
                  <c:v>3.0589114466034804E-3</c:v>
                </c:pt>
                <c:pt idx="7" formatCode="0.0%">
                  <c:v>3.0589114466034804E-3</c:v>
                </c:pt>
              </c:numCache>
            </c:numRef>
          </c:val>
          <c:extLst>
            <c:ext xmlns:c16="http://schemas.microsoft.com/office/drawing/2014/chart" uri="{C3380CC4-5D6E-409C-BE32-E72D297353CC}">
              <c16:uniqueId val="{00000005-9734-4F8A-812E-05CB0C1C7C7C}"/>
            </c:ext>
          </c:extLst>
        </c:ser>
        <c:ser>
          <c:idx val="6"/>
          <c:order val="6"/>
          <c:tx>
            <c:strRef>
              <c:f>'[2021 FRS Chart sen 17_1.xlsx]Sheet1'!$A$95</c:f>
              <c:strCache>
                <c:ptCount val="1"/>
                <c:pt idx="0">
                  <c:v>+95%</c:v>
                </c:pt>
              </c:strCache>
            </c:strRef>
          </c:tx>
          <c:spPr>
            <a:solidFill>
              <a:schemeClr val="accent1">
                <a:lumMod val="20000"/>
                <a:lumOff val="80000"/>
              </a:schemeClr>
            </a:solidFill>
            <a:ln>
              <a:noFill/>
            </a:ln>
            <a:effectLst/>
          </c:spPr>
          <c:val>
            <c:numRef>
              <c:f>'[2021 FRS Chart sen 17_1.xlsx]Sheet1'!$B$95:$I$95</c:f>
              <c:numCache>
                <c:formatCode>General</c:formatCode>
                <c:ptCount val="8"/>
                <c:pt idx="3" formatCode="0.0%">
                  <c:v>0</c:v>
                </c:pt>
                <c:pt idx="4" formatCode="0.0%">
                  <c:v>8.6862424962447851E-3</c:v>
                </c:pt>
                <c:pt idx="5" formatCode="0.0%">
                  <c:v>8.6862424962447851E-3</c:v>
                </c:pt>
                <c:pt idx="6" formatCode="0.0%">
                  <c:v>8.6862424962447851E-3</c:v>
                </c:pt>
                <c:pt idx="7" formatCode="0.0%">
                  <c:v>8.6862424962447851E-3</c:v>
                </c:pt>
              </c:numCache>
            </c:numRef>
          </c:val>
          <c:extLst>
            <c:ext xmlns:c16="http://schemas.microsoft.com/office/drawing/2014/chart" uri="{C3380CC4-5D6E-409C-BE32-E72D297353CC}">
              <c16:uniqueId val="{00000006-9734-4F8A-812E-05CB0C1C7C7C}"/>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'[2021 FRS Chart sen 17_1.xlsx]Sheet1'!$A$86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'[2021 FRS Chart sen 17_1.xlsx]Sheet1'!$B$2:$I$3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17_1.xlsx]Sheet1'!$B$86:$I$86</c:f>
              <c:numCache>
                <c:formatCode>0.0%</c:formatCode>
                <c:ptCount val="8"/>
                <c:pt idx="0">
                  <c:v>-8.774343108182427E-3</c:v>
                </c:pt>
                <c:pt idx="1">
                  <c:v>-7.2837856225508625E-3</c:v>
                </c:pt>
                <c:pt idx="2">
                  <c:v>-2.7048413087628509E-2</c:v>
                </c:pt>
                <c:pt idx="3">
                  <c:v>-8.3394487287928351E-2</c:v>
                </c:pt>
                <c:pt idx="4">
                  <c:v>-4.9371802501785876E-2</c:v>
                </c:pt>
                <c:pt idx="5">
                  <c:v>-4.1841595798064964E-2</c:v>
                </c:pt>
                <c:pt idx="6">
                  <c:v>-3.061672510079106E-2</c:v>
                </c:pt>
                <c:pt idx="7">
                  <c:v>-2.443599316052919E-2</c:v>
                </c:pt>
              </c:numCache>
            </c:numRef>
          </c:val>
          <c:smooth val="0"/>
          <c:extLst>
            <c:ext xmlns:c16="http://schemas.microsoft.com/office/drawing/2014/chart" uri="{C3380CC4-5D6E-409C-BE32-E72D297353CC}">
              <c16:uniqueId val="{00000007-9734-4F8A-812E-05CB0C1C7C7C}"/>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0.4521</cdr:x>
      <cdr:y>0.17019</cdr:y>
    </cdr:from>
    <cdr:to>
      <cdr:x>0.95509</cdr:x>
      <cdr:y>0.82806</cdr:y>
    </cdr:to>
    <cdr:sp macro="" textlink="">
      <cdr:nvSpPr>
        <cdr:cNvPr id="2" name="Rectangle 1"/>
        <cdr:cNvSpPr/>
      </cdr:nvSpPr>
      <cdr:spPr>
        <a:xfrm xmlns:a="http://schemas.openxmlformats.org/drawingml/2006/main">
          <a:off x="1438275" y="495300"/>
          <a:ext cx="1600200" cy="1914525"/>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0.44048</cdr:x>
      <cdr:y>0.17019</cdr:y>
    </cdr:from>
    <cdr:to>
      <cdr:x>0.95536</cdr:x>
      <cdr:y>0.88043</cdr:y>
    </cdr:to>
    <cdr:sp macro="" textlink="">
      <cdr:nvSpPr>
        <cdr:cNvPr id="3" name="Rectangle 2"/>
        <cdr:cNvSpPr/>
      </cdr:nvSpPr>
      <cdr:spPr>
        <a:xfrm xmlns:a="http://schemas.openxmlformats.org/drawingml/2006/main">
          <a:off x="1409700" y="495299"/>
          <a:ext cx="1647825" cy="2066925"/>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0.46791</cdr:x>
      <cdr:y>0.18001</cdr:y>
    </cdr:from>
    <cdr:to>
      <cdr:x>0.95967</cdr:x>
      <cdr:y>0.86891</cdr:y>
    </cdr:to>
    <cdr:sp macro="" textlink="">
      <cdr:nvSpPr>
        <cdr:cNvPr id="3" name="Rectangle 2"/>
        <cdr:cNvSpPr/>
      </cdr:nvSpPr>
      <cdr:spPr>
        <a:xfrm xmlns:a="http://schemas.openxmlformats.org/drawingml/2006/main">
          <a:off x="1495425" y="495299"/>
          <a:ext cx="1571625" cy="1895475"/>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0.44711</cdr:x>
      <cdr:y>0.18562</cdr:y>
    </cdr:from>
    <cdr:to>
      <cdr:x>0.95558</cdr:x>
      <cdr:y>0.87555</cdr:y>
    </cdr:to>
    <cdr:sp macro="" textlink="">
      <cdr:nvSpPr>
        <cdr:cNvPr id="3" name="Rectangle 2"/>
        <cdr:cNvSpPr/>
      </cdr:nvSpPr>
      <cdr:spPr>
        <a:xfrm xmlns:a="http://schemas.openxmlformats.org/drawingml/2006/main">
          <a:off x="1457325" y="504825"/>
          <a:ext cx="1657350" cy="1876425"/>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D67E-E721-41A5-B7B2-3E1E0747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Mirza Gelashvili</cp:lastModifiedBy>
  <cp:revision>2</cp:revision>
  <cp:lastPrinted>2020-08-31T12:10:00Z</cp:lastPrinted>
  <dcterms:created xsi:type="dcterms:W3CDTF">2020-09-30T07:26:00Z</dcterms:created>
  <dcterms:modified xsi:type="dcterms:W3CDTF">2020-09-30T07:26:00Z</dcterms:modified>
</cp:coreProperties>
</file>